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C9" w:rsidRDefault="008924C9" w:rsidP="008924C9">
      <w:pPr>
        <w:pStyle w:val="Title"/>
      </w:pPr>
      <w:r>
        <w:rPr>
          <w:rFonts w:ascii="Times New Roman" w:hAnsi="Times New Roman"/>
          <w:noProof/>
          <w:sz w:val="32"/>
          <w:szCs w:val="32"/>
        </w:rPr>
        <w:drawing>
          <wp:inline distT="0" distB="0" distL="0" distR="0">
            <wp:extent cx="3708400" cy="508000"/>
            <wp:effectExtent l="0" t="0" r="6350" b="6350"/>
            <wp:docPr id="1" name="Picture 1" descr="S:\ADMIN\LOGOS_FONTS\MEDB 30th YEAR\MED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LOGOS_FONTS\MEDB 30th YEAR\MEDB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8400" cy="508000"/>
                    </a:xfrm>
                    <a:prstGeom prst="rect">
                      <a:avLst/>
                    </a:prstGeom>
                    <a:noFill/>
                    <a:ln>
                      <a:noFill/>
                    </a:ln>
                  </pic:spPr>
                </pic:pic>
              </a:graphicData>
            </a:graphic>
          </wp:inline>
        </w:drawing>
      </w:r>
    </w:p>
    <w:p w:rsidR="008924C9" w:rsidRDefault="008924C9" w:rsidP="008924C9">
      <w:pPr>
        <w:pStyle w:val="Title"/>
        <w:rPr>
          <w:rFonts w:ascii="Tw Cen MT" w:hAnsi="Tw Cen MT"/>
          <w:b/>
          <w:bCs/>
          <w:sz w:val="32"/>
        </w:rPr>
      </w:pPr>
    </w:p>
    <w:p w:rsidR="008924C9" w:rsidRPr="00FA3419" w:rsidRDefault="008924C9" w:rsidP="008924C9">
      <w:pPr>
        <w:pStyle w:val="Title"/>
        <w:rPr>
          <w:rFonts w:ascii="Tw Cen MT" w:hAnsi="Tw Cen MT"/>
          <w:b/>
          <w:bCs/>
          <w:sz w:val="32"/>
        </w:rPr>
      </w:pPr>
      <w:r w:rsidRPr="00FA3419">
        <w:rPr>
          <w:rFonts w:ascii="Tw Cen MT" w:hAnsi="Tw Cen MT"/>
          <w:b/>
          <w:bCs/>
          <w:sz w:val="32"/>
        </w:rPr>
        <w:t xml:space="preserve">MEDB </w:t>
      </w:r>
      <w:proofErr w:type="spellStart"/>
      <w:r w:rsidRPr="00FA3419">
        <w:rPr>
          <w:rFonts w:ascii="Tw Cen MT" w:hAnsi="Tw Cen MT"/>
          <w:b/>
          <w:bCs/>
          <w:sz w:val="32"/>
        </w:rPr>
        <w:t>Ke</w:t>
      </w:r>
      <w:proofErr w:type="spellEnd"/>
      <w:r w:rsidRPr="00FA3419">
        <w:rPr>
          <w:rFonts w:ascii="Tw Cen MT" w:hAnsi="Tw Cen MT"/>
          <w:b/>
          <w:bCs/>
          <w:sz w:val="32"/>
        </w:rPr>
        <w:t xml:space="preserve"> </w:t>
      </w:r>
      <w:proofErr w:type="spellStart"/>
      <w:r w:rsidRPr="00FA3419">
        <w:rPr>
          <w:rFonts w:ascii="Tw Cen MT" w:hAnsi="Tw Cen MT"/>
          <w:b/>
          <w:bCs/>
          <w:sz w:val="32"/>
        </w:rPr>
        <w:t>Alahele</w:t>
      </w:r>
      <w:proofErr w:type="spellEnd"/>
      <w:r w:rsidRPr="00FA3419">
        <w:rPr>
          <w:rFonts w:ascii="Tw Cen MT" w:hAnsi="Tw Cen MT"/>
          <w:b/>
          <w:bCs/>
          <w:sz w:val="32"/>
        </w:rPr>
        <w:t xml:space="preserve"> Education Fund</w:t>
      </w:r>
    </w:p>
    <w:p w:rsidR="008924C9" w:rsidRPr="00FA3419" w:rsidRDefault="008924C9" w:rsidP="008924C9">
      <w:pPr>
        <w:jc w:val="center"/>
        <w:rPr>
          <w:rFonts w:ascii="Tw Cen MT" w:hAnsi="Tw Cen MT"/>
          <w:b/>
          <w:sz w:val="32"/>
          <w:szCs w:val="32"/>
        </w:rPr>
      </w:pPr>
      <w:r w:rsidRPr="00FA3419">
        <w:rPr>
          <w:rFonts w:ascii="Tw Cen MT" w:hAnsi="Tw Cen MT"/>
          <w:b/>
          <w:sz w:val="32"/>
          <w:szCs w:val="32"/>
        </w:rPr>
        <w:t>Grant Guidelines</w:t>
      </w:r>
    </w:p>
    <w:p w:rsidR="008924C9" w:rsidRPr="00FA3419" w:rsidRDefault="008924C9" w:rsidP="008924C9">
      <w:pPr>
        <w:jc w:val="center"/>
        <w:rPr>
          <w:rFonts w:ascii="Tw Cen MT" w:hAnsi="Tw Cen MT"/>
        </w:rPr>
      </w:pPr>
    </w:p>
    <w:p w:rsidR="008924C9" w:rsidRPr="00FA3419" w:rsidRDefault="008924C9" w:rsidP="008924C9">
      <w:pPr>
        <w:rPr>
          <w:rFonts w:ascii="Tw Cen MT" w:hAnsi="Tw Cen MT"/>
          <w:b/>
          <w:sz w:val="28"/>
          <w:szCs w:val="28"/>
        </w:rPr>
      </w:pPr>
      <w:r w:rsidRPr="00FA3419">
        <w:rPr>
          <w:rFonts w:ascii="Tw Cen MT" w:hAnsi="Tw Cen MT"/>
          <w:b/>
          <w:sz w:val="28"/>
          <w:szCs w:val="28"/>
        </w:rPr>
        <w:t>Overview</w:t>
      </w:r>
    </w:p>
    <w:p w:rsidR="008924C9" w:rsidRPr="00FA3419" w:rsidRDefault="008924C9" w:rsidP="008924C9">
      <w:pPr>
        <w:rPr>
          <w:rFonts w:ascii="Tw Cen MT" w:hAnsi="Tw Cen MT"/>
        </w:rPr>
      </w:pPr>
    </w:p>
    <w:p w:rsidR="008924C9" w:rsidRPr="00FA3419" w:rsidRDefault="008924C9" w:rsidP="008924C9">
      <w:pPr>
        <w:jc w:val="both"/>
        <w:rPr>
          <w:rFonts w:ascii="Tw Cen MT" w:hAnsi="Tw Cen MT"/>
          <w:sz w:val="22"/>
        </w:rPr>
      </w:pPr>
      <w:r w:rsidRPr="00FA3419">
        <w:rPr>
          <w:rFonts w:ascii="Tw Cen MT" w:hAnsi="Tw Cen MT"/>
          <w:sz w:val="22"/>
          <w:szCs w:val="22"/>
        </w:rPr>
        <w:t xml:space="preserve">The </w:t>
      </w:r>
      <w:proofErr w:type="spellStart"/>
      <w:r w:rsidRPr="00FA3419">
        <w:rPr>
          <w:rFonts w:ascii="Tw Cen MT" w:hAnsi="Tw Cen MT"/>
          <w:sz w:val="22"/>
          <w:szCs w:val="22"/>
        </w:rPr>
        <w:t>Ke</w:t>
      </w:r>
      <w:proofErr w:type="spellEnd"/>
      <w:r w:rsidRPr="00FA3419">
        <w:rPr>
          <w:rFonts w:ascii="Tw Cen MT" w:hAnsi="Tw Cen MT"/>
          <w:sz w:val="22"/>
          <w:szCs w:val="22"/>
        </w:rPr>
        <w:t xml:space="preserve"> </w:t>
      </w:r>
      <w:proofErr w:type="spellStart"/>
      <w:r w:rsidRPr="00FA3419">
        <w:rPr>
          <w:rFonts w:ascii="Tw Cen MT" w:hAnsi="Tw Cen MT"/>
          <w:sz w:val="22"/>
          <w:szCs w:val="22"/>
        </w:rPr>
        <w:t>Alahele</w:t>
      </w:r>
      <w:proofErr w:type="spellEnd"/>
      <w:r w:rsidRPr="00FA3419">
        <w:rPr>
          <w:rFonts w:ascii="Tw Cen MT" w:hAnsi="Tw Cen MT"/>
          <w:sz w:val="22"/>
          <w:szCs w:val="22"/>
        </w:rPr>
        <w:t xml:space="preserve"> Education Fund was created by the Maui Economic Development Board to help local educators, individuals, parent groups and other organizations enhance student learning as well as augment their own professional development.  T</w:t>
      </w:r>
      <w:r w:rsidRPr="00FA3419">
        <w:rPr>
          <w:rFonts w:ascii="Tw Cen MT" w:hAnsi="Tw Cen MT"/>
          <w:sz w:val="22"/>
        </w:rPr>
        <w:t>he Fund’s goals are to:</w:t>
      </w:r>
    </w:p>
    <w:p w:rsidR="008924C9" w:rsidRPr="00FA3419" w:rsidRDefault="008924C9" w:rsidP="008924C9">
      <w:pPr>
        <w:rPr>
          <w:rFonts w:ascii="Tw Cen MT" w:hAnsi="Tw Cen MT"/>
        </w:rPr>
      </w:pPr>
    </w:p>
    <w:p w:rsidR="008924C9" w:rsidRPr="00FA3419" w:rsidRDefault="008924C9" w:rsidP="008924C9">
      <w:pPr>
        <w:pStyle w:val="Heading9"/>
        <w:numPr>
          <w:ilvl w:val="0"/>
          <w:numId w:val="2"/>
        </w:numPr>
        <w:tabs>
          <w:tab w:val="clear" w:pos="720"/>
          <w:tab w:val="num" w:pos="360"/>
          <w:tab w:val="right" w:pos="9360"/>
        </w:tabs>
        <w:ind w:left="360"/>
        <w:jc w:val="left"/>
        <w:rPr>
          <w:rFonts w:ascii="Tw Cen MT" w:hAnsi="Tw Cen MT"/>
          <w:b w:val="0"/>
          <w:sz w:val="22"/>
          <w:szCs w:val="22"/>
        </w:rPr>
      </w:pPr>
      <w:r w:rsidRPr="00FA3419">
        <w:rPr>
          <w:rFonts w:ascii="Tw Cen MT" w:hAnsi="Tw Cen MT"/>
          <w:b w:val="0"/>
          <w:sz w:val="22"/>
          <w:szCs w:val="22"/>
        </w:rPr>
        <w:t>Support needs, actions and efforts in the STEM areas (science, technology, engineering and math) that enhance education systems and activities</w:t>
      </w:r>
    </w:p>
    <w:p w:rsidR="008924C9" w:rsidRPr="00FA3419" w:rsidRDefault="008924C9" w:rsidP="008924C9">
      <w:pPr>
        <w:pStyle w:val="Heading9"/>
        <w:numPr>
          <w:ilvl w:val="0"/>
          <w:numId w:val="2"/>
        </w:numPr>
        <w:tabs>
          <w:tab w:val="clear" w:pos="720"/>
          <w:tab w:val="num" w:pos="360"/>
          <w:tab w:val="right" w:pos="9360"/>
        </w:tabs>
        <w:ind w:hanging="720"/>
        <w:jc w:val="left"/>
        <w:rPr>
          <w:rFonts w:ascii="Tw Cen MT" w:hAnsi="Tw Cen MT"/>
          <w:b w:val="0"/>
          <w:sz w:val="22"/>
          <w:szCs w:val="22"/>
        </w:rPr>
      </w:pPr>
      <w:r w:rsidRPr="00FA3419">
        <w:rPr>
          <w:rFonts w:ascii="Tw Cen MT" w:hAnsi="Tw Cen MT"/>
          <w:b w:val="0"/>
          <w:sz w:val="22"/>
          <w:szCs w:val="22"/>
        </w:rPr>
        <w:t>Align education initiatives with Focus Maui Nui’s vision</w:t>
      </w:r>
      <w:r>
        <w:rPr>
          <w:rFonts w:ascii="Tw Cen MT" w:hAnsi="Tw Cen MT"/>
          <w:b w:val="0"/>
          <w:sz w:val="22"/>
          <w:szCs w:val="22"/>
        </w:rPr>
        <w:t xml:space="preserve">, </w:t>
      </w:r>
      <w:r w:rsidRPr="00FA3419">
        <w:rPr>
          <w:rFonts w:ascii="Tw Cen MT" w:hAnsi="Tw Cen MT"/>
          <w:b w:val="0"/>
          <w:sz w:val="22"/>
          <w:szCs w:val="22"/>
        </w:rPr>
        <w:t>values and strategies</w:t>
      </w:r>
      <w:r>
        <w:rPr>
          <w:rFonts w:ascii="Tw Cen MT" w:hAnsi="Tw Cen MT"/>
          <w:b w:val="0"/>
          <w:sz w:val="22"/>
          <w:szCs w:val="22"/>
        </w:rPr>
        <w:t xml:space="preserve"> (see </w:t>
      </w:r>
      <w:hyperlink r:id="rId7" w:history="1">
        <w:r w:rsidRPr="00FA4DED">
          <w:rPr>
            <w:rStyle w:val="Hyperlink"/>
            <w:rFonts w:ascii="Tw Cen MT" w:hAnsi="Tw Cen MT"/>
            <w:b w:val="0"/>
            <w:sz w:val="22"/>
            <w:szCs w:val="22"/>
          </w:rPr>
          <w:t>www.focusmauinui.com</w:t>
        </w:r>
      </w:hyperlink>
      <w:r>
        <w:rPr>
          <w:rFonts w:ascii="Tw Cen MT" w:hAnsi="Tw Cen MT"/>
          <w:b w:val="0"/>
          <w:sz w:val="22"/>
          <w:szCs w:val="22"/>
        </w:rPr>
        <w:t>)</w:t>
      </w:r>
    </w:p>
    <w:p w:rsidR="008924C9" w:rsidRPr="00FA3419" w:rsidRDefault="008924C9" w:rsidP="008924C9">
      <w:pPr>
        <w:pStyle w:val="Heading9"/>
        <w:numPr>
          <w:ilvl w:val="0"/>
          <w:numId w:val="2"/>
        </w:numPr>
        <w:tabs>
          <w:tab w:val="clear" w:pos="720"/>
          <w:tab w:val="num" w:pos="360"/>
          <w:tab w:val="right" w:pos="9360"/>
        </w:tabs>
        <w:ind w:left="360"/>
        <w:jc w:val="left"/>
        <w:rPr>
          <w:rFonts w:ascii="Tw Cen MT" w:hAnsi="Tw Cen MT"/>
          <w:b w:val="0"/>
          <w:sz w:val="22"/>
          <w:szCs w:val="22"/>
        </w:rPr>
      </w:pPr>
      <w:r w:rsidRPr="00FA3419">
        <w:rPr>
          <w:rFonts w:ascii="Tw Cen MT" w:hAnsi="Tw Cen MT"/>
          <w:b w:val="0"/>
          <w:sz w:val="22"/>
          <w:szCs w:val="22"/>
        </w:rPr>
        <w:t>Promote education experiences that meet or exceed the Hawaii Content and Performance Standards set by the Hawaii Department of Education</w:t>
      </w:r>
    </w:p>
    <w:p w:rsidR="008924C9" w:rsidRPr="00FA3419" w:rsidRDefault="008924C9" w:rsidP="008924C9">
      <w:pPr>
        <w:pStyle w:val="Heading9"/>
        <w:numPr>
          <w:ilvl w:val="0"/>
          <w:numId w:val="2"/>
        </w:numPr>
        <w:tabs>
          <w:tab w:val="clear" w:pos="720"/>
          <w:tab w:val="num" w:pos="360"/>
          <w:tab w:val="right" w:pos="9360"/>
        </w:tabs>
        <w:ind w:hanging="720"/>
        <w:jc w:val="left"/>
        <w:rPr>
          <w:rFonts w:ascii="Tw Cen MT" w:hAnsi="Tw Cen MT"/>
          <w:b w:val="0"/>
          <w:sz w:val="22"/>
          <w:szCs w:val="22"/>
        </w:rPr>
      </w:pPr>
      <w:r w:rsidRPr="00FA3419">
        <w:rPr>
          <w:rFonts w:ascii="Tw Cen MT" w:hAnsi="Tw Cen MT"/>
          <w:b w:val="0"/>
          <w:sz w:val="22"/>
          <w:szCs w:val="22"/>
        </w:rPr>
        <w:t>Eliminate barriers to access tools that enrich educational opportunities in STEM</w:t>
      </w:r>
    </w:p>
    <w:p w:rsidR="008924C9" w:rsidRPr="00FA3419" w:rsidRDefault="008924C9" w:rsidP="008924C9">
      <w:pPr>
        <w:rPr>
          <w:rFonts w:ascii="Tw Cen MT" w:hAnsi="Tw Cen MT"/>
        </w:rPr>
      </w:pPr>
    </w:p>
    <w:p w:rsidR="008924C9" w:rsidRPr="00FA3419" w:rsidRDefault="008924C9" w:rsidP="008924C9">
      <w:pPr>
        <w:pStyle w:val="Heading9"/>
        <w:tabs>
          <w:tab w:val="right" w:pos="9360"/>
        </w:tabs>
        <w:jc w:val="both"/>
        <w:rPr>
          <w:rFonts w:ascii="Tw Cen MT" w:hAnsi="Tw Cen MT"/>
          <w:b w:val="0"/>
          <w:sz w:val="22"/>
          <w:szCs w:val="22"/>
        </w:rPr>
      </w:pPr>
      <w:r w:rsidRPr="00FA3419">
        <w:rPr>
          <w:rFonts w:ascii="Tw Cen MT" w:hAnsi="Tw Cen MT"/>
          <w:b w:val="0"/>
          <w:sz w:val="22"/>
          <w:szCs w:val="22"/>
        </w:rPr>
        <w:t>We expect to make single-year awards up to $5</w:t>
      </w:r>
      <w:r>
        <w:rPr>
          <w:rFonts w:ascii="Tw Cen MT" w:hAnsi="Tw Cen MT"/>
          <w:b w:val="0"/>
          <w:sz w:val="22"/>
          <w:szCs w:val="22"/>
        </w:rPr>
        <w:t>,</w:t>
      </w:r>
      <w:r w:rsidRPr="00FA3419">
        <w:rPr>
          <w:rFonts w:ascii="Tw Cen MT" w:hAnsi="Tw Cen MT"/>
          <w:b w:val="0"/>
          <w:sz w:val="22"/>
          <w:szCs w:val="22"/>
        </w:rPr>
        <w:t xml:space="preserve">000 to qualified applicants.  We seek to fund the spectrum of K-12 </w:t>
      </w:r>
      <w:r>
        <w:rPr>
          <w:rFonts w:ascii="Tw Cen MT" w:hAnsi="Tw Cen MT"/>
          <w:b w:val="0"/>
          <w:sz w:val="22"/>
          <w:szCs w:val="22"/>
        </w:rPr>
        <w:t xml:space="preserve">activities </w:t>
      </w:r>
      <w:r w:rsidRPr="00FA3419">
        <w:rPr>
          <w:rFonts w:ascii="Tw Cen MT" w:hAnsi="Tw Cen MT"/>
          <w:b w:val="0"/>
          <w:sz w:val="22"/>
          <w:szCs w:val="22"/>
        </w:rPr>
        <w:t xml:space="preserve">and internships at the post-secondary level.  </w:t>
      </w:r>
      <w:r>
        <w:rPr>
          <w:rFonts w:ascii="Tw Cen MT" w:hAnsi="Tw Cen MT"/>
          <w:b w:val="0"/>
          <w:sz w:val="22"/>
          <w:szCs w:val="22"/>
        </w:rPr>
        <w:t xml:space="preserve">A list of past recipients can be found at </w:t>
      </w:r>
      <w:hyperlink r:id="rId8" w:history="1">
        <w:r w:rsidRPr="00C43996">
          <w:rPr>
            <w:rStyle w:val="Hyperlink"/>
            <w:rFonts w:ascii="Tw Cen MT" w:hAnsi="Tw Cen MT"/>
            <w:sz w:val="22"/>
            <w:szCs w:val="22"/>
          </w:rPr>
          <w:t>www.medb.org/KeAlahele</w:t>
        </w:r>
      </w:hyperlink>
      <w:r>
        <w:rPr>
          <w:rFonts w:ascii="Tw Cen MT" w:hAnsi="Tw Cen MT"/>
          <w:b w:val="0"/>
          <w:sz w:val="22"/>
          <w:szCs w:val="22"/>
        </w:rPr>
        <w:t xml:space="preserve">.  </w:t>
      </w:r>
      <w:r w:rsidRPr="00FA3419">
        <w:rPr>
          <w:rFonts w:ascii="Tw Cen MT" w:hAnsi="Tw Cen MT"/>
          <w:b w:val="0"/>
          <w:sz w:val="22"/>
          <w:szCs w:val="22"/>
        </w:rPr>
        <w:t>Supported activities may include but are not limited to:</w:t>
      </w:r>
    </w:p>
    <w:p w:rsidR="008924C9" w:rsidRPr="00FA3419" w:rsidRDefault="008924C9" w:rsidP="008924C9">
      <w:pPr>
        <w:rPr>
          <w:rFonts w:ascii="Tw Cen MT" w:hAnsi="Tw Cen MT"/>
        </w:rPr>
      </w:pPr>
    </w:p>
    <w:p w:rsidR="008924C9" w:rsidRPr="00FA3419" w:rsidRDefault="008924C9" w:rsidP="008924C9">
      <w:pPr>
        <w:numPr>
          <w:ilvl w:val="0"/>
          <w:numId w:val="5"/>
        </w:numPr>
        <w:tabs>
          <w:tab w:val="clear" w:pos="720"/>
          <w:tab w:val="num" w:pos="360"/>
        </w:tabs>
        <w:ind w:left="360"/>
        <w:rPr>
          <w:rFonts w:ascii="Tw Cen MT" w:hAnsi="Tw Cen MT"/>
          <w:sz w:val="22"/>
        </w:rPr>
      </w:pPr>
      <w:r w:rsidRPr="00FA3419">
        <w:rPr>
          <w:rFonts w:ascii="Tw Cen MT" w:hAnsi="Tw Cen MT"/>
          <w:sz w:val="22"/>
        </w:rPr>
        <w:t>Internships for students or educators</w:t>
      </w:r>
    </w:p>
    <w:p w:rsidR="008924C9" w:rsidRDefault="008924C9" w:rsidP="008924C9">
      <w:pPr>
        <w:numPr>
          <w:ilvl w:val="0"/>
          <w:numId w:val="5"/>
        </w:numPr>
        <w:tabs>
          <w:tab w:val="clear" w:pos="720"/>
          <w:tab w:val="num" w:pos="360"/>
        </w:tabs>
        <w:ind w:left="360"/>
        <w:rPr>
          <w:rFonts w:ascii="Tw Cen MT" w:hAnsi="Tw Cen MT"/>
          <w:sz w:val="22"/>
        </w:rPr>
      </w:pPr>
      <w:r w:rsidRPr="00FA3419">
        <w:rPr>
          <w:rFonts w:ascii="Tw Cen MT" w:hAnsi="Tw Cen MT"/>
          <w:sz w:val="22"/>
        </w:rPr>
        <w:t>Culture – Science Integration</w:t>
      </w:r>
    </w:p>
    <w:p w:rsidR="008924C9" w:rsidRDefault="008924C9" w:rsidP="008924C9">
      <w:pPr>
        <w:numPr>
          <w:ilvl w:val="0"/>
          <w:numId w:val="5"/>
        </w:numPr>
        <w:tabs>
          <w:tab w:val="clear" w:pos="720"/>
          <w:tab w:val="num" w:pos="360"/>
        </w:tabs>
        <w:ind w:left="360"/>
        <w:rPr>
          <w:rFonts w:ascii="Tw Cen MT" w:hAnsi="Tw Cen MT"/>
          <w:sz w:val="22"/>
        </w:rPr>
      </w:pPr>
      <w:r>
        <w:rPr>
          <w:rFonts w:ascii="Tw Cen MT" w:hAnsi="Tw Cen MT"/>
          <w:sz w:val="22"/>
        </w:rPr>
        <w:t>Project-based, service-based learning</w:t>
      </w:r>
    </w:p>
    <w:p w:rsidR="008924C9" w:rsidRPr="00FA3419" w:rsidRDefault="008924C9" w:rsidP="008924C9">
      <w:pPr>
        <w:numPr>
          <w:ilvl w:val="0"/>
          <w:numId w:val="5"/>
        </w:numPr>
        <w:tabs>
          <w:tab w:val="clear" w:pos="720"/>
          <w:tab w:val="num" w:pos="360"/>
        </w:tabs>
        <w:ind w:left="360"/>
        <w:rPr>
          <w:rFonts w:ascii="Tw Cen MT" w:hAnsi="Tw Cen MT"/>
          <w:sz w:val="22"/>
        </w:rPr>
      </w:pPr>
      <w:r>
        <w:rPr>
          <w:rFonts w:ascii="Tw Cen MT" w:hAnsi="Tw Cen MT"/>
          <w:sz w:val="22"/>
        </w:rPr>
        <w:t>Sustainability, renewable energy projects</w:t>
      </w:r>
    </w:p>
    <w:p w:rsidR="008924C9" w:rsidRPr="00FA3419" w:rsidRDefault="008924C9" w:rsidP="008924C9">
      <w:pPr>
        <w:numPr>
          <w:ilvl w:val="0"/>
          <w:numId w:val="5"/>
        </w:numPr>
        <w:tabs>
          <w:tab w:val="clear" w:pos="720"/>
          <w:tab w:val="num" w:pos="360"/>
        </w:tabs>
        <w:ind w:left="360"/>
        <w:rPr>
          <w:rFonts w:ascii="Tw Cen MT" w:hAnsi="Tw Cen MT"/>
          <w:sz w:val="22"/>
        </w:rPr>
      </w:pPr>
      <w:r w:rsidRPr="00FA3419">
        <w:rPr>
          <w:rFonts w:ascii="Tw Cen MT" w:hAnsi="Tw Cen MT"/>
          <w:sz w:val="22"/>
        </w:rPr>
        <w:t>Apprenticeships</w:t>
      </w:r>
    </w:p>
    <w:p w:rsidR="008924C9" w:rsidRPr="00FA3419" w:rsidRDefault="008924C9" w:rsidP="008924C9">
      <w:pPr>
        <w:numPr>
          <w:ilvl w:val="0"/>
          <w:numId w:val="5"/>
        </w:numPr>
        <w:tabs>
          <w:tab w:val="clear" w:pos="720"/>
          <w:tab w:val="num" w:pos="360"/>
        </w:tabs>
        <w:ind w:left="360"/>
        <w:rPr>
          <w:rFonts w:ascii="Tw Cen MT" w:hAnsi="Tw Cen MT"/>
          <w:sz w:val="22"/>
        </w:rPr>
      </w:pPr>
      <w:r w:rsidRPr="00FA3419">
        <w:rPr>
          <w:rFonts w:ascii="Tw Cen MT" w:hAnsi="Tw Cen MT"/>
          <w:sz w:val="22"/>
        </w:rPr>
        <w:t xml:space="preserve">Innovative curriculum </w:t>
      </w:r>
    </w:p>
    <w:p w:rsidR="008924C9" w:rsidRDefault="008924C9" w:rsidP="008924C9">
      <w:pPr>
        <w:numPr>
          <w:ilvl w:val="0"/>
          <w:numId w:val="5"/>
        </w:numPr>
        <w:tabs>
          <w:tab w:val="clear" w:pos="720"/>
          <w:tab w:val="num" w:pos="360"/>
        </w:tabs>
        <w:ind w:left="360"/>
        <w:rPr>
          <w:rFonts w:ascii="Tw Cen MT" w:hAnsi="Tw Cen MT"/>
          <w:sz w:val="22"/>
        </w:rPr>
      </w:pPr>
      <w:r w:rsidRPr="00FA3419">
        <w:rPr>
          <w:rFonts w:ascii="Tw Cen MT" w:hAnsi="Tw Cen MT"/>
          <w:sz w:val="22"/>
        </w:rPr>
        <w:t>Professional development or training for educators</w:t>
      </w:r>
    </w:p>
    <w:p w:rsidR="008924C9" w:rsidRDefault="008924C9" w:rsidP="008924C9">
      <w:pPr>
        <w:numPr>
          <w:ilvl w:val="0"/>
          <w:numId w:val="5"/>
        </w:numPr>
        <w:tabs>
          <w:tab w:val="clear" w:pos="720"/>
          <w:tab w:val="num" w:pos="360"/>
        </w:tabs>
        <w:ind w:left="360"/>
        <w:rPr>
          <w:rFonts w:ascii="Tw Cen MT" w:hAnsi="Tw Cen MT"/>
          <w:sz w:val="22"/>
        </w:rPr>
      </w:pPr>
      <w:r w:rsidRPr="00FA3419">
        <w:rPr>
          <w:rFonts w:ascii="Tw Cen MT" w:hAnsi="Tw Cen MT"/>
          <w:sz w:val="22"/>
        </w:rPr>
        <w:t>Purchase of supplies or equipment to enhance science, technology, engineering and/or math (STEM) activity</w:t>
      </w:r>
      <w:r>
        <w:rPr>
          <w:rFonts w:ascii="Tw Cen MT" w:hAnsi="Tw Cen MT"/>
          <w:sz w:val="22"/>
        </w:rPr>
        <w:t xml:space="preserve">. </w:t>
      </w:r>
    </w:p>
    <w:p w:rsidR="008924C9" w:rsidRDefault="008924C9" w:rsidP="008924C9">
      <w:pPr>
        <w:rPr>
          <w:rFonts w:ascii="Tw Cen MT" w:hAnsi="Tw Cen MT"/>
          <w:sz w:val="20"/>
        </w:rPr>
      </w:pPr>
    </w:p>
    <w:p w:rsidR="008924C9" w:rsidRDefault="008924C9" w:rsidP="008924C9">
      <w:pPr>
        <w:rPr>
          <w:rFonts w:ascii="Tw Cen MT" w:hAnsi="Tw Cen MT"/>
          <w:sz w:val="20"/>
        </w:rPr>
      </w:pPr>
      <w:r w:rsidRPr="00F63535">
        <w:rPr>
          <w:rFonts w:ascii="Tw Cen MT" w:hAnsi="Tw Cen MT"/>
          <w:sz w:val="20"/>
        </w:rPr>
        <w:t xml:space="preserve">* FOCUS MAUI NUI is an on-going effort spearheaded by the Maui Economic Development Board, Inc. to engage the residents of </w:t>
      </w:r>
      <w:smartTag w:uri="urn:schemas-microsoft-com:office:smarttags" w:element="place">
        <w:smartTag w:uri="urn:schemas-microsoft-com:office:smarttags" w:element="PlaceName">
          <w:r w:rsidRPr="00F63535">
            <w:rPr>
              <w:rFonts w:ascii="Tw Cen MT" w:hAnsi="Tw Cen MT"/>
              <w:sz w:val="20"/>
            </w:rPr>
            <w:t>Maui</w:t>
          </w:r>
        </w:smartTag>
        <w:r w:rsidRPr="00F63535">
          <w:rPr>
            <w:rFonts w:ascii="Tw Cen MT" w:hAnsi="Tw Cen MT"/>
            <w:sz w:val="20"/>
          </w:rPr>
          <w:t xml:space="preserve"> </w:t>
        </w:r>
        <w:smartTag w:uri="urn:schemas-microsoft-com:office:smarttags" w:element="PlaceType">
          <w:r w:rsidRPr="00F63535">
            <w:rPr>
              <w:rFonts w:ascii="Tw Cen MT" w:hAnsi="Tw Cen MT"/>
              <w:sz w:val="20"/>
            </w:rPr>
            <w:t>County</w:t>
          </w:r>
        </w:smartTag>
      </w:smartTag>
      <w:r w:rsidRPr="00F63535">
        <w:rPr>
          <w:rFonts w:ascii="Tw Cen MT" w:hAnsi="Tw Cen MT"/>
          <w:sz w:val="20"/>
        </w:rPr>
        <w:t xml:space="preserve"> in shaping and enacting a long-term vision for our four-island county.</w:t>
      </w:r>
      <w:r>
        <w:rPr>
          <w:rFonts w:ascii="Tw Cen MT" w:hAnsi="Tw Cen MT"/>
          <w:sz w:val="20"/>
        </w:rPr>
        <w:t xml:space="preserve"> For more information, go to </w:t>
      </w:r>
      <w:hyperlink r:id="rId9" w:history="1">
        <w:r w:rsidRPr="00925BCA">
          <w:rPr>
            <w:rStyle w:val="Hyperlink"/>
            <w:rFonts w:ascii="Tw Cen MT" w:hAnsi="Tw Cen MT"/>
            <w:sz w:val="20"/>
          </w:rPr>
          <w:t>www.focusmauinui,com</w:t>
        </w:r>
      </w:hyperlink>
    </w:p>
    <w:p w:rsidR="008924C9" w:rsidRDefault="008924C9" w:rsidP="008924C9">
      <w:pPr>
        <w:rPr>
          <w:rFonts w:ascii="Tw Cen MT" w:hAnsi="Tw Cen MT"/>
          <w:sz w:val="22"/>
        </w:rPr>
      </w:pPr>
    </w:p>
    <w:p w:rsidR="008924C9" w:rsidRPr="00FA3419" w:rsidRDefault="008924C9" w:rsidP="008924C9">
      <w:pPr>
        <w:pStyle w:val="Heading6"/>
        <w:rPr>
          <w:rFonts w:ascii="Tw Cen MT" w:hAnsi="Tw Cen MT"/>
        </w:rPr>
      </w:pPr>
      <w:r w:rsidRPr="00FA3419">
        <w:rPr>
          <w:rFonts w:ascii="Tw Cen MT" w:hAnsi="Tw Cen MT"/>
        </w:rPr>
        <w:t>Review Criteria</w:t>
      </w:r>
    </w:p>
    <w:p w:rsidR="008924C9" w:rsidRPr="00FA3419" w:rsidRDefault="008924C9" w:rsidP="008924C9">
      <w:pPr>
        <w:rPr>
          <w:rFonts w:ascii="Tw Cen MT" w:hAnsi="Tw Cen MT"/>
        </w:rPr>
      </w:pPr>
    </w:p>
    <w:p w:rsidR="008924C9" w:rsidRPr="00FA3419" w:rsidRDefault="008924C9" w:rsidP="008924C9">
      <w:pPr>
        <w:pStyle w:val="Heading8"/>
        <w:jc w:val="left"/>
        <w:rPr>
          <w:rFonts w:ascii="Tw Cen MT" w:hAnsi="Tw Cen MT"/>
          <w:b w:val="0"/>
          <w:i w:val="0"/>
        </w:rPr>
      </w:pPr>
      <w:r w:rsidRPr="00FA3419">
        <w:rPr>
          <w:rFonts w:ascii="Tw Cen MT" w:hAnsi="Tw Cen MT"/>
          <w:b w:val="0"/>
          <w:i w:val="0"/>
        </w:rPr>
        <w:t>The strongest proposals will be those that best meet all or most of the following criteria:</w:t>
      </w:r>
    </w:p>
    <w:p w:rsidR="008924C9" w:rsidRPr="00FA3419" w:rsidRDefault="008924C9" w:rsidP="008924C9">
      <w:pPr>
        <w:ind w:left="360"/>
        <w:rPr>
          <w:rFonts w:ascii="Tw Cen MT" w:hAnsi="Tw Cen MT"/>
          <w:sz w:val="22"/>
        </w:rPr>
      </w:pPr>
    </w:p>
    <w:p w:rsidR="008924C9" w:rsidRPr="00FA3419" w:rsidRDefault="008924C9" w:rsidP="008924C9">
      <w:pPr>
        <w:numPr>
          <w:ilvl w:val="0"/>
          <w:numId w:val="6"/>
        </w:numPr>
        <w:tabs>
          <w:tab w:val="clear" w:pos="720"/>
        </w:tabs>
        <w:ind w:left="360"/>
        <w:rPr>
          <w:rFonts w:ascii="Tw Cen MT" w:hAnsi="Tw Cen MT"/>
          <w:sz w:val="22"/>
          <w:szCs w:val="22"/>
        </w:rPr>
      </w:pPr>
      <w:r w:rsidRPr="00FA3419">
        <w:rPr>
          <w:rFonts w:ascii="Tw Cen MT" w:hAnsi="Tw Cen MT"/>
          <w:sz w:val="22"/>
          <w:szCs w:val="22"/>
        </w:rPr>
        <w:t>Proposed project is focused and well defined</w:t>
      </w:r>
    </w:p>
    <w:p w:rsidR="008924C9" w:rsidRPr="00FA3419" w:rsidRDefault="008924C9" w:rsidP="008924C9">
      <w:pPr>
        <w:numPr>
          <w:ilvl w:val="0"/>
          <w:numId w:val="6"/>
        </w:numPr>
        <w:tabs>
          <w:tab w:val="clear" w:pos="720"/>
        </w:tabs>
        <w:ind w:left="360"/>
        <w:rPr>
          <w:rFonts w:ascii="Tw Cen MT" w:hAnsi="Tw Cen MT"/>
          <w:sz w:val="22"/>
          <w:szCs w:val="22"/>
        </w:rPr>
      </w:pPr>
      <w:r w:rsidRPr="00FA3419">
        <w:rPr>
          <w:rFonts w:ascii="Tw Cen MT" w:hAnsi="Tw Cen MT"/>
          <w:sz w:val="22"/>
          <w:szCs w:val="22"/>
        </w:rPr>
        <w:t>Project identifies clear outcomes and measures of success</w:t>
      </w:r>
    </w:p>
    <w:p w:rsidR="008924C9" w:rsidRPr="00FA3419" w:rsidRDefault="008924C9" w:rsidP="008924C9">
      <w:pPr>
        <w:numPr>
          <w:ilvl w:val="0"/>
          <w:numId w:val="6"/>
        </w:numPr>
        <w:tabs>
          <w:tab w:val="clear" w:pos="720"/>
        </w:tabs>
        <w:ind w:left="360"/>
        <w:rPr>
          <w:rFonts w:ascii="Tw Cen MT" w:hAnsi="Tw Cen MT"/>
          <w:sz w:val="22"/>
          <w:szCs w:val="22"/>
        </w:rPr>
      </w:pPr>
      <w:r w:rsidRPr="00FA3419">
        <w:rPr>
          <w:rFonts w:ascii="Tw Cen MT" w:hAnsi="Tw Cen MT"/>
          <w:sz w:val="22"/>
          <w:szCs w:val="22"/>
        </w:rPr>
        <w:t>Project involves appropriate partners</w:t>
      </w:r>
    </w:p>
    <w:p w:rsidR="008924C9" w:rsidRDefault="008924C9" w:rsidP="008924C9">
      <w:pPr>
        <w:numPr>
          <w:ilvl w:val="0"/>
          <w:numId w:val="6"/>
        </w:numPr>
        <w:tabs>
          <w:tab w:val="clear" w:pos="720"/>
        </w:tabs>
        <w:ind w:left="360"/>
        <w:rPr>
          <w:rFonts w:ascii="Tw Cen MT" w:hAnsi="Tw Cen MT"/>
          <w:sz w:val="22"/>
          <w:szCs w:val="22"/>
        </w:rPr>
      </w:pPr>
      <w:r w:rsidRPr="00FA3419">
        <w:rPr>
          <w:rFonts w:ascii="Tw Cen MT" w:hAnsi="Tw Cen MT"/>
          <w:sz w:val="22"/>
          <w:szCs w:val="22"/>
        </w:rPr>
        <w:t xml:space="preserve">Project budget is </w:t>
      </w:r>
      <w:r w:rsidRPr="00A94CCE">
        <w:rPr>
          <w:rFonts w:ascii="Tw Cen MT" w:hAnsi="Tw Cen MT"/>
          <w:sz w:val="22"/>
          <w:szCs w:val="22"/>
        </w:rPr>
        <w:t>concise</w:t>
      </w:r>
      <w:r w:rsidRPr="00FA3419">
        <w:rPr>
          <w:rFonts w:ascii="Tw Cen MT" w:hAnsi="Tw Cen MT"/>
          <w:sz w:val="22"/>
          <w:szCs w:val="22"/>
        </w:rPr>
        <w:t>, relates to the project description, and shows reasonable cost</w:t>
      </w:r>
    </w:p>
    <w:p w:rsidR="008924C9" w:rsidRPr="000E4D80" w:rsidRDefault="008924C9" w:rsidP="008924C9">
      <w:pPr>
        <w:numPr>
          <w:ilvl w:val="0"/>
          <w:numId w:val="6"/>
        </w:numPr>
        <w:tabs>
          <w:tab w:val="clear" w:pos="720"/>
        </w:tabs>
        <w:ind w:left="360"/>
        <w:rPr>
          <w:rFonts w:ascii="Tw Cen MT" w:hAnsi="Tw Cen MT"/>
          <w:sz w:val="22"/>
          <w:szCs w:val="22"/>
        </w:rPr>
      </w:pPr>
      <w:r w:rsidRPr="00FA3419">
        <w:rPr>
          <w:rFonts w:ascii="Tw Cen MT" w:hAnsi="Tw Cen MT"/>
          <w:sz w:val="22"/>
        </w:rPr>
        <w:t>Project is innovative</w:t>
      </w:r>
      <w:r>
        <w:rPr>
          <w:rFonts w:ascii="Tw Cen MT" w:hAnsi="Tw Cen MT"/>
          <w:sz w:val="22"/>
        </w:rPr>
        <w:t xml:space="preserve">, </w:t>
      </w:r>
      <w:r w:rsidRPr="00FA3419">
        <w:rPr>
          <w:rFonts w:ascii="Tw Cen MT" w:hAnsi="Tw Cen MT"/>
          <w:sz w:val="22"/>
        </w:rPr>
        <w:t>will advance STEM education</w:t>
      </w:r>
      <w:r>
        <w:rPr>
          <w:rFonts w:ascii="Tw Cen MT" w:hAnsi="Tw Cen MT"/>
          <w:sz w:val="22"/>
        </w:rPr>
        <w:t xml:space="preserve"> and aligns with Focus Maui Nui strategies</w:t>
      </w:r>
    </w:p>
    <w:p w:rsidR="008924C9" w:rsidRDefault="008924C9" w:rsidP="008924C9">
      <w:pPr>
        <w:numPr>
          <w:ilvl w:val="0"/>
          <w:numId w:val="3"/>
        </w:numPr>
        <w:tabs>
          <w:tab w:val="clear" w:pos="1080"/>
        </w:tabs>
        <w:ind w:left="360"/>
        <w:rPr>
          <w:rFonts w:ascii="Tw Cen MT" w:hAnsi="Tw Cen MT"/>
          <w:sz w:val="22"/>
        </w:rPr>
      </w:pPr>
      <w:r w:rsidRPr="00FA3419">
        <w:rPr>
          <w:rFonts w:ascii="Tw Cen MT" w:hAnsi="Tw Cen MT"/>
          <w:sz w:val="22"/>
        </w:rPr>
        <w:t>Project effectively integrates cultural content with scientific practices</w:t>
      </w:r>
    </w:p>
    <w:p w:rsidR="008924C9" w:rsidRPr="00FA3419" w:rsidRDefault="008924C9" w:rsidP="008924C9">
      <w:pPr>
        <w:numPr>
          <w:ilvl w:val="0"/>
          <w:numId w:val="3"/>
        </w:numPr>
        <w:tabs>
          <w:tab w:val="clear" w:pos="1080"/>
        </w:tabs>
        <w:ind w:left="360"/>
        <w:rPr>
          <w:rFonts w:ascii="Tw Cen MT" w:hAnsi="Tw Cen MT"/>
          <w:sz w:val="22"/>
        </w:rPr>
      </w:pPr>
      <w:r>
        <w:rPr>
          <w:rFonts w:ascii="Tw Cen MT" w:hAnsi="Tw Cen MT"/>
          <w:sz w:val="22"/>
        </w:rPr>
        <w:lastRenderedPageBreak/>
        <w:t xml:space="preserve">Project adds to community sustainability </w:t>
      </w:r>
    </w:p>
    <w:p w:rsidR="008924C9" w:rsidRPr="00FA3419" w:rsidRDefault="008924C9" w:rsidP="008924C9">
      <w:pPr>
        <w:numPr>
          <w:ilvl w:val="0"/>
          <w:numId w:val="3"/>
        </w:numPr>
        <w:tabs>
          <w:tab w:val="clear" w:pos="1080"/>
        </w:tabs>
        <w:ind w:left="360"/>
        <w:rPr>
          <w:rFonts w:ascii="Tw Cen MT" w:hAnsi="Tw Cen MT"/>
          <w:sz w:val="22"/>
        </w:rPr>
      </w:pPr>
      <w:r w:rsidRPr="00FA3419">
        <w:rPr>
          <w:rFonts w:ascii="Tw Cen MT" w:hAnsi="Tw Cen MT"/>
          <w:bCs/>
          <w:sz w:val="22"/>
        </w:rPr>
        <w:t>Project must involve an evaluation/way to measure results</w:t>
      </w:r>
    </w:p>
    <w:p w:rsidR="008924C9" w:rsidRPr="00FA3419" w:rsidRDefault="008924C9" w:rsidP="008924C9">
      <w:pPr>
        <w:numPr>
          <w:ilvl w:val="0"/>
          <w:numId w:val="3"/>
        </w:numPr>
        <w:tabs>
          <w:tab w:val="clear" w:pos="1080"/>
        </w:tabs>
        <w:ind w:left="360" w:right="-180"/>
        <w:rPr>
          <w:rFonts w:ascii="Tw Cen MT" w:hAnsi="Tw Cen MT"/>
          <w:sz w:val="22"/>
        </w:rPr>
      </w:pPr>
      <w:r w:rsidRPr="00FA3419">
        <w:rPr>
          <w:rFonts w:ascii="Tw Cen MT" w:hAnsi="Tw Cen MT"/>
          <w:sz w:val="22"/>
        </w:rPr>
        <w:t>Project demonstrates excellence and impact in serving organization’s constituency or our community</w:t>
      </w:r>
    </w:p>
    <w:p w:rsidR="008924C9" w:rsidRDefault="008924C9" w:rsidP="008924C9">
      <w:pPr>
        <w:numPr>
          <w:ilvl w:val="0"/>
          <w:numId w:val="4"/>
        </w:numPr>
        <w:tabs>
          <w:tab w:val="clear" w:pos="1080"/>
        </w:tabs>
        <w:ind w:left="360"/>
        <w:rPr>
          <w:rFonts w:ascii="Tw Cen MT" w:hAnsi="Tw Cen MT"/>
          <w:sz w:val="22"/>
        </w:rPr>
      </w:pPr>
      <w:r w:rsidRPr="00FA3419">
        <w:rPr>
          <w:rFonts w:ascii="Tw Cen MT" w:hAnsi="Tw Cen MT"/>
          <w:sz w:val="22"/>
        </w:rPr>
        <w:t>Applicant can be accountable for funds</w:t>
      </w:r>
    </w:p>
    <w:p w:rsidR="008924C9" w:rsidRDefault="008924C9" w:rsidP="008924C9">
      <w:pPr>
        <w:numPr>
          <w:ilvl w:val="0"/>
          <w:numId w:val="4"/>
        </w:numPr>
        <w:tabs>
          <w:tab w:val="clear" w:pos="1080"/>
        </w:tabs>
        <w:ind w:left="360"/>
        <w:rPr>
          <w:rFonts w:ascii="Tw Cen MT" w:hAnsi="Tw Cen MT"/>
          <w:sz w:val="22"/>
        </w:rPr>
      </w:pPr>
      <w:r>
        <w:rPr>
          <w:rFonts w:ascii="Tw Cen MT" w:hAnsi="Tw Cen MT"/>
          <w:sz w:val="22"/>
        </w:rPr>
        <w:t>Applicant must submit final report evaluation to MEDB</w:t>
      </w:r>
    </w:p>
    <w:p w:rsidR="008924C9" w:rsidRDefault="008924C9" w:rsidP="008924C9">
      <w:pPr>
        <w:pStyle w:val="Heading6"/>
        <w:rPr>
          <w:rFonts w:ascii="Tw Cen MT" w:hAnsi="Tw Cen MT"/>
          <w:bCs/>
        </w:rPr>
      </w:pPr>
    </w:p>
    <w:p w:rsidR="008924C9" w:rsidRPr="00775798" w:rsidRDefault="008924C9" w:rsidP="008924C9">
      <w:pPr>
        <w:pStyle w:val="Heading6"/>
        <w:rPr>
          <w:rFonts w:ascii="Tw Cen MT" w:hAnsi="Tw Cen MT"/>
          <w:bCs/>
        </w:rPr>
      </w:pPr>
      <w:r w:rsidRPr="00775798">
        <w:rPr>
          <w:rFonts w:ascii="Tw Cen MT" w:hAnsi="Tw Cen MT"/>
          <w:bCs/>
        </w:rPr>
        <w:t>Eligibility</w:t>
      </w:r>
    </w:p>
    <w:p w:rsidR="008924C9" w:rsidRPr="00FA3419" w:rsidRDefault="008924C9" w:rsidP="008924C9">
      <w:pPr>
        <w:rPr>
          <w:rFonts w:ascii="Tw Cen MT" w:hAnsi="Tw Cen MT"/>
        </w:rPr>
      </w:pPr>
    </w:p>
    <w:p w:rsidR="008924C9" w:rsidRPr="00FA3419" w:rsidRDefault="008924C9" w:rsidP="008924C9">
      <w:pPr>
        <w:pStyle w:val="BodyText2"/>
        <w:numPr>
          <w:ilvl w:val="0"/>
          <w:numId w:val="4"/>
        </w:numPr>
        <w:tabs>
          <w:tab w:val="clear" w:pos="1080"/>
        </w:tabs>
        <w:ind w:left="360"/>
        <w:jc w:val="left"/>
        <w:rPr>
          <w:rFonts w:ascii="Tw Cen MT" w:hAnsi="Tw Cen MT"/>
        </w:rPr>
      </w:pPr>
      <w:r w:rsidRPr="00FA3419">
        <w:rPr>
          <w:rFonts w:ascii="Tw Cen MT" w:hAnsi="Tw Cen MT"/>
        </w:rPr>
        <w:t xml:space="preserve">Eligible applicants must be an </w:t>
      </w:r>
      <w:r>
        <w:rPr>
          <w:rFonts w:ascii="Tw Cen MT" w:hAnsi="Tw Cen MT"/>
        </w:rPr>
        <w:t xml:space="preserve">educator, </w:t>
      </w:r>
      <w:r w:rsidRPr="00FA3419">
        <w:rPr>
          <w:rFonts w:ascii="Tw Cen MT" w:hAnsi="Tw Cen MT"/>
        </w:rPr>
        <w:t>organization, school</w:t>
      </w:r>
      <w:r>
        <w:rPr>
          <w:rFonts w:ascii="Tw Cen MT" w:hAnsi="Tw Cen MT"/>
        </w:rPr>
        <w:t xml:space="preserve"> or</w:t>
      </w:r>
      <w:r w:rsidRPr="00FA3419">
        <w:rPr>
          <w:rFonts w:ascii="Tw Cen MT" w:hAnsi="Tw Cen MT"/>
        </w:rPr>
        <w:t xml:space="preserve"> student</w:t>
      </w:r>
    </w:p>
    <w:p w:rsidR="008924C9" w:rsidRPr="00FA3419" w:rsidRDefault="008924C9" w:rsidP="008924C9">
      <w:pPr>
        <w:pStyle w:val="Header"/>
        <w:tabs>
          <w:tab w:val="clear" w:pos="4320"/>
          <w:tab w:val="clear" w:pos="8640"/>
        </w:tabs>
        <w:rPr>
          <w:rFonts w:ascii="Tw Cen MT" w:hAnsi="Tw Cen MT"/>
          <w:b/>
          <w:bCs/>
          <w:sz w:val="32"/>
          <w:szCs w:val="32"/>
        </w:rPr>
      </w:pPr>
    </w:p>
    <w:p w:rsidR="008924C9" w:rsidRPr="00FA3419" w:rsidRDefault="008924C9" w:rsidP="008924C9">
      <w:pPr>
        <w:pStyle w:val="Header"/>
        <w:tabs>
          <w:tab w:val="clear" w:pos="4320"/>
          <w:tab w:val="clear" w:pos="8640"/>
        </w:tabs>
        <w:rPr>
          <w:rFonts w:ascii="Tw Cen MT" w:hAnsi="Tw Cen MT"/>
          <w:b/>
          <w:bCs/>
          <w:sz w:val="28"/>
          <w:szCs w:val="28"/>
        </w:rPr>
      </w:pPr>
      <w:r w:rsidRPr="00FA3419">
        <w:rPr>
          <w:rFonts w:ascii="Tw Cen MT" w:hAnsi="Tw Cen MT"/>
          <w:b/>
          <w:bCs/>
          <w:sz w:val="28"/>
          <w:szCs w:val="28"/>
        </w:rPr>
        <w:t>Grant Guidelines</w:t>
      </w:r>
    </w:p>
    <w:p w:rsidR="008924C9" w:rsidRPr="00FA3419" w:rsidRDefault="008924C9" w:rsidP="008924C9">
      <w:pPr>
        <w:pStyle w:val="Header"/>
        <w:tabs>
          <w:tab w:val="clear" w:pos="4320"/>
          <w:tab w:val="clear" w:pos="8640"/>
        </w:tabs>
        <w:rPr>
          <w:rFonts w:ascii="Tw Cen MT" w:hAnsi="Tw Cen MT"/>
          <w:b/>
          <w:bCs/>
          <w:szCs w:val="24"/>
        </w:rPr>
      </w:pPr>
    </w:p>
    <w:p w:rsidR="008924C9" w:rsidRPr="00A064B9" w:rsidRDefault="008924C9" w:rsidP="008924C9">
      <w:pPr>
        <w:pStyle w:val="Header"/>
        <w:numPr>
          <w:ilvl w:val="0"/>
          <w:numId w:val="1"/>
        </w:numPr>
        <w:tabs>
          <w:tab w:val="clear" w:pos="2160"/>
          <w:tab w:val="clear" w:pos="4320"/>
          <w:tab w:val="clear" w:pos="8640"/>
        </w:tabs>
        <w:ind w:left="360"/>
        <w:rPr>
          <w:rFonts w:ascii="Tw Cen MT" w:hAnsi="Tw Cen MT"/>
          <w:b/>
          <w:bCs/>
          <w:sz w:val="22"/>
          <w:szCs w:val="22"/>
        </w:rPr>
      </w:pPr>
      <w:r w:rsidRPr="00FA3419">
        <w:rPr>
          <w:rFonts w:ascii="Tw Cen MT" w:hAnsi="Tw Cen MT"/>
          <w:sz w:val="22"/>
          <w:szCs w:val="22"/>
        </w:rPr>
        <w:t xml:space="preserve">Proposals are for a </w:t>
      </w:r>
      <w:r w:rsidRPr="00D2234F">
        <w:rPr>
          <w:rFonts w:ascii="Tw Cen MT" w:hAnsi="Tw Cen MT"/>
          <w:sz w:val="22"/>
          <w:szCs w:val="22"/>
        </w:rPr>
        <w:t>one-year</w:t>
      </w:r>
      <w:r w:rsidRPr="00D2234F">
        <w:rPr>
          <w:rFonts w:ascii="Tw Cen MT" w:hAnsi="Tw Cen MT"/>
          <w:bCs/>
          <w:sz w:val="22"/>
          <w:szCs w:val="22"/>
        </w:rPr>
        <w:t xml:space="preserve"> </w:t>
      </w:r>
      <w:r>
        <w:rPr>
          <w:rFonts w:ascii="Tw Cen MT" w:hAnsi="Tw Cen MT"/>
          <w:bCs/>
          <w:sz w:val="22"/>
          <w:szCs w:val="22"/>
        </w:rPr>
        <w:t>period</w:t>
      </w:r>
    </w:p>
    <w:p w:rsidR="008924C9" w:rsidRDefault="008924C9" w:rsidP="008924C9">
      <w:pPr>
        <w:pStyle w:val="Header"/>
        <w:numPr>
          <w:ilvl w:val="0"/>
          <w:numId w:val="1"/>
        </w:numPr>
        <w:tabs>
          <w:tab w:val="clear" w:pos="2160"/>
          <w:tab w:val="clear" w:pos="4320"/>
          <w:tab w:val="clear" w:pos="8640"/>
        </w:tabs>
        <w:ind w:left="360"/>
        <w:rPr>
          <w:rFonts w:ascii="Tw Cen MT" w:hAnsi="Tw Cen MT"/>
          <w:bCs/>
          <w:sz w:val="22"/>
          <w:szCs w:val="22"/>
        </w:rPr>
      </w:pPr>
      <w:r w:rsidRPr="00E4208D">
        <w:rPr>
          <w:rFonts w:ascii="Tw Cen MT" w:hAnsi="Tw Cen MT"/>
          <w:bCs/>
          <w:sz w:val="22"/>
          <w:szCs w:val="22"/>
        </w:rPr>
        <w:t>Grantees may apply annually</w:t>
      </w:r>
      <w:r>
        <w:rPr>
          <w:rFonts w:ascii="Tw Cen MT" w:hAnsi="Tw Cen MT"/>
          <w:bCs/>
          <w:sz w:val="22"/>
          <w:szCs w:val="22"/>
        </w:rPr>
        <w:t>.  To be eligible for subsequent year funding, all former grantees must have completed and submitted their final reports to MEDB.</w:t>
      </w:r>
    </w:p>
    <w:p w:rsidR="008924C9" w:rsidRPr="00FA3419" w:rsidRDefault="008924C9" w:rsidP="008924C9">
      <w:pPr>
        <w:pStyle w:val="Header"/>
        <w:numPr>
          <w:ilvl w:val="0"/>
          <w:numId w:val="1"/>
        </w:numPr>
        <w:tabs>
          <w:tab w:val="clear" w:pos="2160"/>
          <w:tab w:val="clear" w:pos="4320"/>
          <w:tab w:val="clear" w:pos="8640"/>
        </w:tabs>
        <w:ind w:left="360"/>
        <w:rPr>
          <w:rFonts w:ascii="Tw Cen MT" w:hAnsi="Tw Cen MT"/>
          <w:bCs/>
          <w:sz w:val="22"/>
          <w:szCs w:val="22"/>
        </w:rPr>
      </w:pPr>
      <w:r w:rsidRPr="00E4208D">
        <w:rPr>
          <w:rFonts w:ascii="Tw Cen MT" w:hAnsi="Tw Cen MT"/>
          <w:bCs/>
          <w:sz w:val="22"/>
          <w:szCs w:val="22"/>
        </w:rPr>
        <w:t>All grant proposals should allow up to 60 days for a response</w:t>
      </w:r>
    </w:p>
    <w:p w:rsidR="008924C9" w:rsidRPr="00FA3419" w:rsidRDefault="008924C9" w:rsidP="008924C9">
      <w:pPr>
        <w:pStyle w:val="Header"/>
        <w:numPr>
          <w:ilvl w:val="0"/>
          <w:numId w:val="1"/>
        </w:numPr>
        <w:tabs>
          <w:tab w:val="clear" w:pos="2160"/>
          <w:tab w:val="clear" w:pos="4320"/>
          <w:tab w:val="clear" w:pos="8640"/>
        </w:tabs>
        <w:ind w:left="360"/>
        <w:rPr>
          <w:rFonts w:ascii="Tw Cen MT" w:hAnsi="Tw Cen MT"/>
          <w:bCs/>
          <w:sz w:val="22"/>
          <w:szCs w:val="22"/>
        </w:rPr>
      </w:pPr>
      <w:r w:rsidRPr="00FA3419">
        <w:rPr>
          <w:rFonts w:ascii="Tw Cen MT" w:hAnsi="Tw Cen MT"/>
          <w:bCs/>
          <w:sz w:val="22"/>
          <w:szCs w:val="22"/>
        </w:rPr>
        <w:t>Applicants should ensure that there is adequate lead-time for processing grant applications including submittal and approval process, receipt of the grant money, and lead-time for long lead items (equipment, etc.)</w:t>
      </w:r>
    </w:p>
    <w:p w:rsidR="008924C9" w:rsidRDefault="008924C9" w:rsidP="008924C9">
      <w:pPr>
        <w:pStyle w:val="Header"/>
        <w:numPr>
          <w:ilvl w:val="0"/>
          <w:numId w:val="1"/>
        </w:numPr>
        <w:tabs>
          <w:tab w:val="clear" w:pos="2160"/>
          <w:tab w:val="clear" w:pos="4320"/>
          <w:tab w:val="clear" w:pos="8640"/>
        </w:tabs>
        <w:ind w:left="360"/>
        <w:rPr>
          <w:rFonts w:ascii="Tw Cen MT" w:hAnsi="Tw Cen MT"/>
          <w:bCs/>
          <w:sz w:val="22"/>
          <w:szCs w:val="22"/>
        </w:rPr>
      </w:pPr>
      <w:r w:rsidRPr="00FA3419">
        <w:rPr>
          <w:rFonts w:ascii="Tw Cen MT" w:hAnsi="Tw Cen MT"/>
          <w:bCs/>
          <w:sz w:val="22"/>
          <w:szCs w:val="22"/>
        </w:rPr>
        <w:t xml:space="preserve">Grants are intended to supplement </w:t>
      </w:r>
      <w:r w:rsidRPr="00FA3419">
        <w:rPr>
          <w:rFonts w:ascii="Tw Cen MT" w:hAnsi="Tw Cen MT"/>
          <w:bCs/>
          <w:sz w:val="22"/>
          <w:szCs w:val="22"/>
          <w:u w:val="single"/>
        </w:rPr>
        <w:t>not supplant</w:t>
      </w:r>
      <w:r w:rsidRPr="00FA3419">
        <w:rPr>
          <w:rFonts w:ascii="Tw Cen MT" w:hAnsi="Tw Cen MT"/>
          <w:bCs/>
          <w:sz w:val="22"/>
          <w:szCs w:val="22"/>
        </w:rPr>
        <w:t xml:space="preserve"> schools academic programs (i.e., Funds can be used to expand or enhance educational opportunities but not replace or compete with existing funds)</w:t>
      </w:r>
    </w:p>
    <w:p w:rsidR="008924C9" w:rsidRPr="00FA3419" w:rsidRDefault="008924C9" w:rsidP="008924C9">
      <w:pPr>
        <w:pStyle w:val="Header"/>
        <w:numPr>
          <w:ilvl w:val="0"/>
          <w:numId w:val="1"/>
        </w:numPr>
        <w:tabs>
          <w:tab w:val="clear" w:pos="2160"/>
          <w:tab w:val="clear" w:pos="4320"/>
          <w:tab w:val="clear" w:pos="8640"/>
        </w:tabs>
        <w:ind w:left="360"/>
        <w:rPr>
          <w:rFonts w:ascii="Tw Cen MT" w:hAnsi="Tw Cen MT"/>
          <w:bCs/>
          <w:sz w:val="22"/>
          <w:szCs w:val="22"/>
        </w:rPr>
      </w:pPr>
      <w:r>
        <w:rPr>
          <w:rFonts w:ascii="Tw Cen MT" w:hAnsi="Tw Cen MT"/>
          <w:bCs/>
          <w:sz w:val="22"/>
          <w:szCs w:val="22"/>
        </w:rPr>
        <w:t>Grant requests must involve an evaluation/way to measure results</w:t>
      </w:r>
    </w:p>
    <w:p w:rsidR="008924C9" w:rsidRDefault="008924C9" w:rsidP="008924C9">
      <w:pPr>
        <w:pStyle w:val="Header"/>
        <w:numPr>
          <w:ilvl w:val="0"/>
          <w:numId w:val="1"/>
        </w:numPr>
        <w:tabs>
          <w:tab w:val="clear" w:pos="2160"/>
          <w:tab w:val="clear" w:pos="4320"/>
          <w:tab w:val="clear" w:pos="8640"/>
        </w:tabs>
        <w:ind w:left="360"/>
        <w:rPr>
          <w:rFonts w:ascii="Tw Cen MT" w:hAnsi="Tw Cen MT"/>
          <w:bCs/>
          <w:sz w:val="22"/>
          <w:szCs w:val="22"/>
        </w:rPr>
      </w:pPr>
      <w:r w:rsidRPr="00FA3419">
        <w:rPr>
          <w:rFonts w:ascii="Tw Cen MT" w:hAnsi="Tw Cen MT"/>
          <w:bCs/>
          <w:sz w:val="22"/>
          <w:szCs w:val="22"/>
        </w:rPr>
        <w:t>Educators are strongly encouraged to partner with the community to enhance project-based learning and provide ‘real world’ hands-on experiences.  Grants that identify community partners will be given a higher priority</w:t>
      </w:r>
    </w:p>
    <w:p w:rsidR="008924C9" w:rsidRPr="00FA3419" w:rsidRDefault="008924C9" w:rsidP="008924C9">
      <w:pPr>
        <w:pStyle w:val="Header"/>
        <w:numPr>
          <w:ilvl w:val="0"/>
          <w:numId w:val="1"/>
        </w:numPr>
        <w:tabs>
          <w:tab w:val="clear" w:pos="2160"/>
          <w:tab w:val="clear" w:pos="4320"/>
          <w:tab w:val="clear" w:pos="8640"/>
        </w:tabs>
        <w:ind w:left="360"/>
        <w:rPr>
          <w:rFonts w:ascii="Tw Cen MT" w:hAnsi="Tw Cen MT"/>
          <w:sz w:val="22"/>
        </w:rPr>
      </w:pPr>
      <w:r w:rsidRPr="00FA3419">
        <w:rPr>
          <w:rFonts w:ascii="Tw Cen MT" w:hAnsi="Tw Cen MT"/>
          <w:bCs/>
          <w:sz w:val="22"/>
          <w:szCs w:val="22"/>
        </w:rPr>
        <w:t>All grant proposals will be reviewed by the MEDB Education Committee and awarded by the MEDB Board of Directors.  Awards will be distributed in one lump sum</w:t>
      </w:r>
    </w:p>
    <w:p w:rsidR="008924C9" w:rsidRPr="00FA3419" w:rsidRDefault="008924C9" w:rsidP="008924C9">
      <w:pPr>
        <w:ind w:left="360" w:right="-540"/>
        <w:rPr>
          <w:rFonts w:ascii="Tw Cen MT" w:hAnsi="Tw Cen MT"/>
          <w:sz w:val="22"/>
        </w:rPr>
      </w:pPr>
    </w:p>
    <w:p w:rsidR="008924C9" w:rsidRPr="00FA3419" w:rsidRDefault="008924C9" w:rsidP="008924C9">
      <w:pPr>
        <w:pStyle w:val="Heading2"/>
        <w:jc w:val="both"/>
        <w:rPr>
          <w:rFonts w:ascii="Tw Cen MT" w:hAnsi="Tw Cen MT"/>
          <w:sz w:val="28"/>
          <w:szCs w:val="28"/>
        </w:rPr>
      </w:pPr>
      <w:r w:rsidRPr="00FA3419">
        <w:rPr>
          <w:rFonts w:ascii="Tw Cen MT" w:hAnsi="Tw Cen MT"/>
          <w:sz w:val="28"/>
          <w:szCs w:val="28"/>
        </w:rPr>
        <w:t>Deadline</w:t>
      </w:r>
    </w:p>
    <w:p w:rsidR="008924C9" w:rsidRPr="00FA3419" w:rsidRDefault="008924C9" w:rsidP="008924C9">
      <w:pPr>
        <w:rPr>
          <w:rFonts w:ascii="Tw Cen MT" w:hAnsi="Tw Cen MT"/>
        </w:rPr>
      </w:pPr>
    </w:p>
    <w:p w:rsidR="008924C9" w:rsidRPr="00FA3419" w:rsidRDefault="008924C9" w:rsidP="008924C9">
      <w:pPr>
        <w:pStyle w:val="Header"/>
        <w:tabs>
          <w:tab w:val="clear" w:pos="4320"/>
          <w:tab w:val="clear" w:pos="8640"/>
        </w:tabs>
        <w:jc w:val="both"/>
        <w:rPr>
          <w:rFonts w:ascii="Tw Cen MT" w:hAnsi="Tw Cen MT"/>
          <w:sz w:val="22"/>
        </w:rPr>
      </w:pPr>
      <w:r>
        <w:rPr>
          <w:rFonts w:ascii="Tw Cen MT" w:hAnsi="Tw Cen MT"/>
          <w:sz w:val="22"/>
        </w:rPr>
        <w:t xml:space="preserve">Application forms are available by calling 875-2300 or can be downloaded from the MEDB website at </w:t>
      </w:r>
      <w:hyperlink r:id="rId10" w:history="1">
        <w:r w:rsidRPr="00D94585">
          <w:rPr>
            <w:rStyle w:val="Hyperlink"/>
            <w:rFonts w:ascii="Tw Cen MT" w:hAnsi="Tw Cen MT"/>
            <w:sz w:val="22"/>
          </w:rPr>
          <w:t>www.medb.org</w:t>
        </w:r>
      </w:hyperlink>
      <w:r w:rsidRPr="00D94585">
        <w:rPr>
          <w:rFonts w:ascii="Tw Cen MT" w:hAnsi="Tw Cen MT"/>
          <w:sz w:val="22"/>
        </w:rPr>
        <w:t xml:space="preserve">.  </w:t>
      </w:r>
      <w:r>
        <w:rPr>
          <w:rFonts w:ascii="Tw Cen MT" w:hAnsi="Tw Cen MT"/>
          <w:sz w:val="22"/>
        </w:rPr>
        <w:t xml:space="preserve">Applications are accepted throughout the year; however, some programs such as Robotics may have specific deadlines – check website for the latest information. </w:t>
      </w:r>
      <w:r w:rsidRPr="00FA3419">
        <w:rPr>
          <w:rFonts w:ascii="Tw Cen MT" w:hAnsi="Tw Cen MT"/>
          <w:sz w:val="22"/>
        </w:rPr>
        <w:t>Incomplete proposal packets will not be reviewed.  Please send proposals to:</w:t>
      </w:r>
    </w:p>
    <w:p w:rsidR="008924C9" w:rsidRPr="00FA3419" w:rsidRDefault="008924C9" w:rsidP="008924C9">
      <w:pPr>
        <w:pStyle w:val="Header"/>
        <w:tabs>
          <w:tab w:val="clear" w:pos="4320"/>
          <w:tab w:val="clear" w:pos="8640"/>
        </w:tabs>
        <w:rPr>
          <w:rFonts w:ascii="Tw Cen MT" w:hAnsi="Tw Cen MT"/>
          <w:sz w:val="22"/>
        </w:rPr>
      </w:pPr>
    </w:p>
    <w:p w:rsidR="008924C9" w:rsidRPr="00FA3419" w:rsidRDefault="008924C9" w:rsidP="008924C9">
      <w:pPr>
        <w:pStyle w:val="Header"/>
        <w:tabs>
          <w:tab w:val="clear" w:pos="4320"/>
          <w:tab w:val="clear" w:pos="8640"/>
        </w:tabs>
        <w:jc w:val="center"/>
        <w:rPr>
          <w:rFonts w:ascii="Tw Cen MT" w:hAnsi="Tw Cen MT"/>
          <w:b/>
          <w:bCs/>
          <w:sz w:val="22"/>
        </w:rPr>
      </w:pPr>
      <w:proofErr w:type="gramStart"/>
      <w:r w:rsidRPr="00FA3419">
        <w:rPr>
          <w:rFonts w:ascii="Tw Cen MT" w:hAnsi="Tw Cen MT"/>
          <w:b/>
          <w:bCs/>
          <w:sz w:val="22"/>
        </w:rPr>
        <w:t>Maui Economic Development Board, Inc.</w:t>
      </w:r>
      <w:proofErr w:type="gramEnd"/>
    </w:p>
    <w:p w:rsidR="008924C9" w:rsidRPr="00FA3419" w:rsidRDefault="008924C9" w:rsidP="008924C9">
      <w:pPr>
        <w:pStyle w:val="Header"/>
        <w:tabs>
          <w:tab w:val="clear" w:pos="4320"/>
          <w:tab w:val="clear" w:pos="8640"/>
        </w:tabs>
        <w:jc w:val="center"/>
        <w:rPr>
          <w:rFonts w:ascii="Tw Cen MT" w:hAnsi="Tw Cen MT"/>
          <w:b/>
          <w:bCs/>
          <w:sz w:val="22"/>
        </w:rPr>
      </w:pPr>
      <w:r w:rsidRPr="00FA3419">
        <w:rPr>
          <w:rFonts w:ascii="Tw Cen MT" w:hAnsi="Tw Cen MT"/>
          <w:b/>
          <w:bCs/>
          <w:sz w:val="22"/>
        </w:rPr>
        <w:t xml:space="preserve">MEDB </w:t>
      </w:r>
      <w:proofErr w:type="spellStart"/>
      <w:r w:rsidRPr="00FA3419">
        <w:rPr>
          <w:rFonts w:ascii="Tw Cen MT" w:hAnsi="Tw Cen MT"/>
          <w:b/>
          <w:bCs/>
          <w:sz w:val="22"/>
        </w:rPr>
        <w:t>Ke</w:t>
      </w:r>
      <w:proofErr w:type="spellEnd"/>
      <w:r w:rsidRPr="00FA3419">
        <w:rPr>
          <w:rFonts w:ascii="Tw Cen MT" w:hAnsi="Tw Cen MT"/>
          <w:b/>
          <w:bCs/>
          <w:sz w:val="22"/>
        </w:rPr>
        <w:t xml:space="preserve"> </w:t>
      </w:r>
      <w:proofErr w:type="spellStart"/>
      <w:r w:rsidRPr="00FA3419">
        <w:rPr>
          <w:rFonts w:ascii="Tw Cen MT" w:hAnsi="Tw Cen MT"/>
          <w:b/>
          <w:bCs/>
          <w:sz w:val="22"/>
        </w:rPr>
        <w:t>Alahele</w:t>
      </w:r>
      <w:proofErr w:type="spellEnd"/>
      <w:r w:rsidRPr="00FA3419">
        <w:rPr>
          <w:rFonts w:ascii="Tw Cen MT" w:hAnsi="Tw Cen MT"/>
          <w:b/>
          <w:bCs/>
          <w:sz w:val="22"/>
        </w:rPr>
        <w:t xml:space="preserve"> Education Fund</w:t>
      </w:r>
    </w:p>
    <w:p w:rsidR="008924C9" w:rsidRPr="00FA3419" w:rsidRDefault="008924C9" w:rsidP="008924C9">
      <w:pPr>
        <w:pStyle w:val="Header"/>
        <w:tabs>
          <w:tab w:val="clear" w:pos="4320"/>
          <w:tab w:val="clear" w:pos="8640"/>
        </w:tabs>
        <w:jc w:val="center"/>
        <w:rPr>
          <w:rFonts w:ascii="Tw Cen MT" w:hAnsi="Tw Cen MT"/>
          <w:b/>
          <w:bCs/>
          <w:sz w:val="22"/>
        </w:rPr>
      </w:pPr>
      <w:smartTag w:uri="urn:schemas-microsoft-com:office:smarttags" w:element="Street">
        <w:smartTag w:uri="urn:schemas-microsoft-com:office:smarttags" w:element="address">
          <w:r w:rsidRPr="00FA3419">
            <w:rPr>
              <w:rFonts w:ascii="Tw Cen MT" w:hAnsi="Tw Cen MT"/>
              <w:b/>
              <w:bCs/>
              <w:sz w:val="22"/>
            </w:rPr>
            <w:t xml:space="preserve">1305 N. </w:t>
          </w:r>
          <w:proofErr w:type="spellStart"/>
          <w:r w:rsidRPr="00FA3419">
            <w:rPr>
              <w:rFonts w:ascii="Tw Cen MT" w:hAnsi="Tw Cen MT"/>
              <w:b/>
              <w:bCs/>
              <w:sz w:val="22"/>
            </w:rPr>
            <w:t>Holopono</w:t>
          </w:r>
          <w:proofErr w:type="spellEnd"/>
          <w:r w:rsidRPr="00FA3419">
            <w:rPr>
              <w:rFonts w:ascii="Tw Cen MT" w:hAnsi="Tw Cen MT"/>
              <w:b/>
              <w:bCs/>
              <w:sz w:val="22"/>
            </w:rPr>
            <w:t xml:space="preserve"> St., Suite 1</w:t>
          </w:r>
        </w:smartTag>
      </w:smartTag>
    </w:p>
    <w:p w:rsidR="008924C9" w:rsidRPr="00FA3419" w:rsidRDefault="008924C9" w:rsidP="008924C9">
      <w:pPr>
        <w:pStyle w:val="Header"/>
        <w:tabs>
          <w:tab w:val="clear" w:pos="4320"/>
          <w:tab w:val="clear" w:pos="8640"/>
        </w:tabs>
        <w:jc w:val="center"/>
        <w:rPr>
          <w:rFonts w:ascii="Tw Cen MT" w:hAnsi="Tw Cen MT"/>
          <w:b/>
          <w:bCs/>
          <w:sz w:val="22"/>
        </w:rPr>
      </w:pPr>
      <w:proofErr w:type="spellStart"/>
      <w:r w:rsidRPr="00FA3419">
        <w:rPr>
          <w:rFonts w:ascii="Tw Cen MT" w:hAnsi="Tw Cen MT"/>
          <w:b/>
          <w:bCs/>
          <w:sz w:val="22"/>
        </w:rPr>
        <w:t>Kihei</w:t>
      </w:r>
      <w:proofErr w:type="spellEnd"/>
      <w:r w:rsidRPr="00FA3419">
        <w:rPr>
          <w:rFonts w:ascii="Tw Cen MT" w:hAnsi="Tw Cen MT"/>
          <w:b/>
          <w:bCs/>
          <w:sz w:val="22"/>
        </w:rPr>
        <w:t xml:space="preserve"> HI 96753</w:t>
      </w:r>
    </w:p>
    <w:p w:rsidR="008924C9" w:rsidRPr="00FA3419" w:rsidRDefault="008924C9" w:rsidP="008924C9">
      <w:pPr>
        <w:pStyle w:val="Header"/>
        <w:tabs>
          <w:tab w:val="clear" w:pos="4320"/>
          <w:tab w:val="clear" w:pos="8640"/>
        </w:tabs>
        <w:rPr>
          <w:rFonts w:ascii="Tw Cen MT" w:hAnsi="Tw Cen MT"/>
          <w:b/>
          <w:bCs/>
          <w:sz w:val="22"/>
        </w:rPr>
      </w:pPr>
      <w:r w:rsidRPr="00FA3419">
        <w:rPr>
          <w:rFonts w:ascii="Tw Cen MT" w:hAnsi="Tw Cen MT"/>
          <w:b/>
          <w:bCs/>
          <w:sz w:val="22"/>
        </w:rPr>
        <w:tab/>
      </w:r>
    </w:p>
    <w:p w:rsidR="008924C9" w:rsidRPr="00FA3419" w:rsidRDefault="008924C9" w:rsidP="008924C9">
      <w:pPr>
        <w:ind w:hanging="360"/>
        <w:rPr>
          <w:rFonts w:ascii="Tw Cen MT" w:hAnsi="Tw Cen MT"/>
          <w:sz w:val="22"/>
          <w:szCs w:val="22"/>
        </w:rPr>
      </w:pPr>
      <w:r w:rsidRPr="00FA3419">
        <w:rPr>
          <w:rFonts w:ascii="Tw Cen MT" w:hAnsi="Tw Cen MT"/>
        </w:rPr>
        <w:tab/>
      </w:r>
      <w:r w:rsidRPr="00FA3419">
        <w:rPr>
          <w:rFonts w:ascii="Tw Cen MT" w:hAnsi="Tw Cen MT"/>
          <w:b/>
          <w:sz w:val="28"/>
          <w:szCs w:val="28"/>
        </w:rPr>
        <w:t xml:space="preserve">Reporting Guidelines </w:t>
      </w:r>
    </w:p>
    <w:p w:rsidR="008924C9" w:rsidRPr="00FA3419" w:rsidRDefault="008924C9" w:rsidP="008924C9">
      <w:pPr>
        <w:ind w:hanging="360"/>
        <w:rPr>
          <w:rFonts w:ascii="Tw Cen MT" w:hAnsi="Tw Cen MT"/>
          <w:b/>
        </w:rPr>
      </w:pPr>
    </w:p>
    <w:p w:rsidR="008924C9" w:rsidRPr="00FA3419" w:rsidRDefault="008924C9" w:rsidP="008924C9">
      <w:pPr>
        <w:ind w:hanging="360"/>
        <w:jc w:val="both"/>
        <w:rPr>
          <w:rFonts w:ascii="Tw Cen MT" w:hAnsi="Tw Cen MT"/>
          <w:sz w:val="22"/>
          <w:szCs w:val="22"/>
        </w:rPr>
      </w:pPr>
      <w:r w:rsidRPr="00FA3419">
        <w:rPr>
          <w:rFonts w:ascii="Tw Cen MT" w:hAnsi="Tw Cen MT"/>
          <w:b/>
          <w:sz w:val="22"/>
          <w:szCs w:val="22"/>
        </w:rPr>
        <w:tab/>
      </w:r>
      <w:r w:rsidRPr="00FA3419">
        <w:rPr>
          <w:rFonts w:ascii="Tw Cen MT" w:hAnsi="Tw Cen MT"/>
          <w:sz w:val="22"/>
          <w:szCs w:val="22"/>
        </w:rPr>
        <w:t xml:space="preserve">A Final Report is required 30 days after grant period ends, and must contain details on how the awarded funds were spent, how many students/individuals were reached (if applicable), the grant, and the overall results of the awarded grant.  </w:t>
      </w:r>
    </w:p>
    <w:p w:rsidR="008924C9" w:rsidRPr="00FA3419" w:rsidRDefault="008924C9" w:rsidP="008924C9">
      <w:pPr>
        <w:rPr>
          <w:rFonts w:ascii="Tw Cen MT" w:hAnsi="Tw Cen MT"/>
          <w:sz w:val="22"/>
          <w:szCs w:val="22"/>
        </w:rPr>
      </w:pPr>
    </w:p>
    <w:p w:rsidR="00E85771" w:rsidRDefault="008924C9" w:rsidP="008924C9">
      <w:pPr>
        <w:pStyle w:val="Header"/>
        <w:tabs>
          <w:tab w:val="clear" w:pos="4320"/>
          <w:tab w:val="clear" w:pos="8640"/>
        </w:tabs>
      </w:pPr>
      <w:r w:rsidRPr="00FA3419">
        <w:rPr>
          <w:rFonts w:ascii="Tw Cen MT" w:hAnsi="Tw Cen MT"/>
          <w:sz w:val="22"/>
          <w:szCs w:val="22"/>
        </w:rPr>
        <w:t xml:space="preserve">If you have any questions about these guidelines or the </w:t>
      </w:r>
      <w:r w:rsidRPr="00FA3419">
        <w:rPr>
          <w:rFonts w:ascii="Tw Cen MT" w:hAnsi="Tw Cen MT"/>
          <w:bCs/>
          <w:sz w:val="22"/>
          <w:szCs w:val="22"/>
        </w:rPr>
        <w:t xml:space="preserve">MEDB </w:t>
      </w:r>
      <w:proofErr w:type="spellStart"/>
      <w:r w:rsidRPr="00FA3419">
        <w:rPr>
          <w:rFonts w:ascii="Tw Cen MT" w:hAnsi="Tw Cen MT"/>
          <w:bCs/>
          <w:sz w:val="22"/>
          <w:szCs w:val="22"/>
        </w:rPr>
        <w:t>Ke</w:t>
      </w:r>
      <w:proofErr w:type="spellEnd"/>
      <w:r w:rsidRPr="00FA3419">
        <w:rPr>
          <w:rFonts w:ascii="Tw Cen MT" w:hAnsi="Tw Cen MT"/>
          <w:bCs/>
          <w:sz w:val="22"/>
          <w:szCs w:val="22"/>
        </w:rPr>
        <w:t xml:space="preserve"> </w:t>
      </w:r>
      <w:proofErr w:type="spellStart"/>
      <w:r w:rsidRPr="00FA3419">
        <w:rPr>
          <w:rFonts w:ascii="Tw Cen MT" w:hAnsi="Tw Cen MT"/>
          <w:bCs/>
          <w:sz w:val="22"/>
          <w:szCs w:val="22"/>
        </w:rPr>
        <w:t>Alahele</w:t>
      </w:r>
      <w:proofErr w:type="spellEnd"/>
      <w:r w:rsidRPr="00FA3419">
        <w:rPr>
          <w:rFonts w:ascii="Tw Cen MT" w:hAnsi="Tw Cen MT"/>
          <w:bCs/>
          <w:sz w:val="22"/>
          <w:szCs w:val="22"/>
        </w:rPr>
        <w:t xml:space="preserve"> Education Fund,</w:t>
      </w:r>
      <w:r w:rsidRPr="00FA3419">
        <w:rPr>
          <w:rFonts w:ascii="Tw Cen MT" w:hAnsi="Tw Cen MT"/>
          <w:b/>
          <w:bCs/>
          <w:sz w:val="22"/>
          <w:szCs w:val="22"/>
        </w:rPr>
        <w:t xml:space="preserve"> </w:t>
      </w:r>
      <w:r w:rsidRPr="00FA3419">
        <w:rPr>
          <w:rFonts w:ascii="Tw Cen MT" w:hAnsi="Tw Cen MT"/>
          <w:sz w:val="22"/>
          <w:szCs w:val="22"/>
        </w:rPr>
        <w:t xml:space="preserve">please contact </w:t>
      </w:r>
      <w:r w:rsidR="002A5971">
        <w:rPr>
          <w:rFonts w:ascii="Tw Cen MT" w:hAnsi="Tw Cen MT"/>
          <w:sz w:val="22"/>
          <w:szCs w:val="22"/>
        </w:rPr>
        <w:t>Michelle Cocca</w:t>
      </w:r>
      <w:r>
        <w:rPr>
          <w:rFonts w:ascii="Tw Cen MT" w:hAnsi="Tw Cen MT"/>
          <w:sz w:val="22"/>
          <w:szCs w:val="22"/>
        </w:rPr>
        <w:t xml:space="preserve"> at </w:t>
      </w:r>
      <w:r w:rsidR="002A5971">
        <w:rPr>
          <w:rFonts w:ascii="Tw Cen MT" w:hAnsi="Tw Cen MT"/>
          <w:sz w:val="22"/>
          <w:szCs w:val="22"/>
        </w:rPr>
        <w:t>875-2388</w:t>
      </w:r>
      <w:r w:rsidRPr="00FA3419">
        <w:rPr>
          <w:rFonts w:ascii="Tw Cen MT" w:hAnsi="Tw Cen MT"/>
          <w:sz w:val="22"/>
          <w:szCs w:val="22"/>
        </w:rPr>
        <w:t>.</w:t>
      </w:r>
      <w:bookmarkStart w:id="0" w:name="_GoBack"/>
      <w:bookmarkEnd w:id="0"/>
    </w:p>
    <w:sectPr w:rsidR="00E85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6CE"/>
    <w:multiLevelType w:val="hybridMultilevel"/>
    <w:tmpl w:val="3A46F3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10D58F1"/>
    <w:multiLevelType w:val="hybridMultilevel"/>
    <w:tmpl w:val="2C24DD34"/>
    <w:lvl w:ilvl="0" w:tplc="00010409">
      <w:start w:val="1"/>
      <w:numFmt w:val="bullet"/>
      <w:lvlText w:val=""/>
      <w:lvlJc w:val="left"/>
      <w:pPr>
        <w:tabs>
          <w:tab w:val="num" w:pos="1080"/>
        </w:tabs>
        <w:ind w:left="1080" w:hanging="360"/>
      </w:pPr>
      <w:rPr>
        <w:rFonts w:ascii="Symbol" w:hAnsi="Symbol" w:hint="default"/>
      </w:rPr>
    </w:lvl>
    <w:lvl w:ilvl="1" w:tplc="403829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2C00104"/>
    <w:multiLevelType w:val="hybridMultilevel"/>
    <w:tmpl w:val="46DAA176"/>
    <w:lvl w:ilvl="0" w:tplc="00010409">
      <w:start w:val="1"/>
      <w:numFmt w:val="bullet"/>
      <w:lvlText w:val=""/>
      <w:lvlJc w:val="left"/>
      <w:pPr>
        <w:tabs>
          <w:tab w:val="num" w:pos="720"/>
        </w:tabs>
        <w:ind w:left="720" w:hanging="360"/>
      </w:pPr>
      <w:rPr>
        <w:rFonts w:ascii="Symbol" w:hAnsi="Symbol" w:hint="default"/>
      </w:rPr>
    </w:lvl>
    <w:lvl w:ilvl="1" w:tplc="403829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9686931"/>
    <w:multiLevelType w:val="hybridMultilevel"/>
    <w:tmpl w:val="ADD2D92C"/>
    <w:lvl w:ilvl="0" w:tplc="00010409">
      <w:start w:val="1"/>
      <w:numFmt w:val="bullet"/>
      <w:lvlText w:val=""/>
      <w:lvlJc w:val="left"/>
      <w:pPr>
        <w:tabs>
          <w:tab w:val="num" w:pos="1080"/>
        </w:tabs>
        <w:ind w:left="1080" w:hanging="360"/>
      </w:pPr>
      <w:rPr>
        <w:rFonts w:ascii="Symbol" w:hAnsi="Symbol" w:hint="default"/>
      </w:rPr>
    </w:lvl>
    <w:lvl w:ilvl="1" w:tplc="403829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F2275A6"/>
    <w:multiLevelType w:val="hybridMultilevel"/>
    <w:tmpl w:val="6784BC0C"/>
    <w:lvl w:ilvl="0" w:tplc="DD4E8A0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77277D"/>
    <w:multiLevelType w:val="hybridMultilevel"/>
    <w:tmpl w:val="49D85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w Cen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w Cen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w Cen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C9"/>
    <w:rsid w:val="002A5971"/>
    <w:rsid w:val="008924C9"/>
    <w:rsid w:val="00E8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924C9"/>
    <w:pPr>
      <w:keepNext/>
      <w:outlineLvl w:val="1"/>
    </w:pPr>
    <w:rPr>
      <w:rFonts w:ascii="Garamond" w:hAnsi="Garamond"/>
      <w:b/>
      <w:bCs/>
    </w:rPr>
  </w:style>
  <w:style w:type="paragraph" w:styleId="Heading6">
    <w:name w:val="heading 6"/>
    <w:basedOn w:val="Normal"/>
    <w:next w:val="Normal"/>
    <w:link w:val="Heading6Char"/>
    <w:qFormat/>
    <w:rsid w:val="008924C9"/>
    <w:pPr>
      <w:keepNext/>
      <w:jc w:val="both"/>
      <w:outlineLvl w:val="5"/>
    </w:pPr>
    <w:rPr>
      <w:b/>
      <w:sz w:val="28"/>
      <w:szCs w:val="20"/>
    </w:rPr>
  </w:style>
  <w:style w:type="paragraph" w:styleId="Heading8">
    <w:name w:val="heading 8"/>
    <w:basedOn w:val="Normal"/>
    <w:next w:val="Normal"/>
    <w:link w:val="Heading8Char"/>
    <w:qFormat/>
    <w:rsid w:val="008924C9"/>
    <w:pPr>
      <w:keepNext/>
      <w:jc w:val="both"/>
      <w:outlineLvl w:val="7"/>
    </w:pPr>
    <w:rPr>
      <w:b/>
      <w:i/>
      <w:sz w:val="22"/>
      <w:szCs w:val="20"/>
    </w:rPr>
  </w:style>
  <w:style w:type="paragraph" w:styleId="Heading9">
    <w:name w:val="heading 9"/>
    <w:basedOn w:val="Normal"/>
    <w:next w:val="Normal"/>
    <w:link w:val="Heading9Char"/>
    <w:qFormat/>
    <w:rsid w:val="008924C9"/>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24C9"/>
    <w:rPr>
      <w:rFonts w:ascii="Garamond" w:eastAsia="Times New Roman" w:hAnsi="Garamond" w:cs="Times New Roman"/>
      <w:b/>
      <w:bCs/>
      <w:sz w:val="24"/>
      <w:szCs w:val="24"/>
    </w:rPr>
  </w:style>
  <w:style w:type="character" w:customStyle="1" w:styleId="Heading6Char">
    <w:name w:val="Heading 6 Char"/>
    <w:basedOn w:val="DefaultParagraphFont"/>
    <w:link w:val="Heading6"/>
    <w:rsid w:val="008924C9"/>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8924C9"/>
    <w:rPr>
      <w:rFonts w:ascii="Times New Roman" w:eastAsia="Times New Roman" w:hAnsi="Times New Roman" w:cs="Times New Roman"/>
      <w:b/>
      <w:i/>
      <w:szCs w:val="20"/>
    </w:rPr>
  </w:style>
  <w:style w:type="character" w:customStyle="1" w:styleId="Heading9Char">
    <w:name w:val="Heading 9 Char"/>
    <w:basedOn w:val="DefaultParagraphFont"/>
    <w:link w:val="Heading9"/>
    <w:rsid w:val="008924C9"/>
    <w:rPr>
      <w:rFonts w:ascii="Times New Roman" w:eastAsia="Times New Roman" w:hAnsi="Times New Roman" w:cs="Times New Roman"/>
      <w:b/>
      <w:sz w:val="28"/>
      <w:szCs w:val="20"/>
    </w:rPr>
  </w:style>
  <w:style w:type="paragraph" w:styleId="BodyText2">
    <w:name w:val="Body Text 2"/>
    <w:basedOn w:val="Normal"/>
    <w:link w:val="BodyText2Char"/>
    <w:rsid w:val="008924C9"/>
    <w:pPr>
      <w:jc w:val="both"/>
    </w:pPr>
    <w:rPr>
      <w:sz w:val="22"/>
      <w:szCs w:val="20"/>
    </w:rPr>
  </w:style>
  <w:style w:type="character" w:customStyle="1" w:styleId="BodyText2Char">
    <w:name w:val="Body Text 2 Char"/>
    <w:basedOn w:val="DefaultParagraphFont"/>
    <w:link w:val="BodyText2"/>
    <w:rsid w:val="008924C9"/>
    <w:rPr>
      <w:rFonts w:ascii="Times New Roman" w:eastAsia="Times New Roman" w:hAnsi="Times New Roman" w:cs="Times New Roman"/>
      <w:szCs w:val="20"/>
    </w:rPr>
  </w:style>
  <w:style w:type="paragraph" w:styleId="Header">
    <w:name w:val="header"/>
    <w:basedOn w:val="Normal"/>
    <w:link w:val="HeaderChar"/>
    <w:rsid w:val="008924C9"/>
    <w:pPr>
      <w:tabs>
        <w:tab w:val="center" w:pos="4320"/>
        <w:tab w:val="right" w:pos="8640"/>
      </w:tabs>
    </w:pPr>
    <w:rPr>
      <w:szCs w:val="20"/>
    </w:rPr>
  </w:style>
  <w:style w:type="character" w:customStyle="1" w:styleId="HeaderChar">
    <w:name w:val="Header Char"/>
    <w:basedOn w:val="DefaultParagraphFont"/>
    <w:link w:val="Header"/>
    <w:rsid w:val="008924C9"/>
    <w:rPr>
      <w:rFonts w:ascii="Times New Roman" w:eastAsia="Times New Roman" w:hAnsi="Times New Roman" w:cs="Times New Roman"/>
      <w:sz w:val="24"/>
      <w:szCs w:val="20"/>
    </w:rPr>
  </w:style>
  <w:style w:type="paragraph" w:styleId="Title">
    <w:name w:val="Title"/>
    <w:basedOn w:val="Normal"/>
    <w:link w:val="TitleChar"/>
    <w:qFormat/>
    <w:rsid w:val="008924C9"/>
    <w:pPr>
      <w:jc w:val="center"/>
    </w:pPr>
    <w:rPr>
      <w:rFonts w:ascii="Garamond" w:hAnsi="Garamond"/>
      <w:sz w:val="28"/>
    </w:rPr>
  </w:style>
  <w:style w:type="character" w:customStyle="1" w:styleId="TitleChar">
    <w:name w:val="Title Char"/>
    <w:basedOn w:val="DefaultParagraphFont"/>
    <w:link w:val="Title"/>
    <w:rsid w:val="008924C9"/>
    <w:rPr>
      <w:rFonts w:ascii="Garamond" w:eastAsia="Times New Roman" w:hAnsi="Garamond" w:cs="Times New Roman"/>
      <w:sz w:val="28"/>
      <w:szCs w:val="24"/>
    </w:rPr>
  </w:style>
  <w:style w:type="character" w:styleId="Hyperlink">
    <w:name w:val="Hyperlink"/>
    <w:basedOn w:val="DefaultParagraphFont"/>
    <w:rsid w:val="008924C9"/>
    <w:rPr>
      <w:color w:val="0000FF"/>
      <w:u w:val="single"/>
    </w:rPr>
  </w:style>
  <w:style w:type="paragraph" w:styleId="BalloonText">
    <w:name w:val="Balloon Text"/>
    <w:basedOn w:val="Normal"/>
    <w:link w:val="BalloonTextChar"/>
    <w:uiPriority w:val="99"/>
    <w:semiHidden/>
    <w:unhideWhenUsed/>
    <w:rsid w:val="008924C9"/>
    <w:rPr>
      <w:rFonts w:ascii="Tahoma" w:hAnsi="Tahoma" w:cs="Tahoma"/>
      <w:sz w:val="16"/>
      <w:szCs w:val="16"/>
    </w:rPr>
  </w:style>
  <w:style w:type="character" w:customStyle="1" w:styleId="BalloonTextChar">
    <w:name w:val="Balloon Text Char"/>
    <w:basedOn w:val="DefaultParagraphFont"/>
    <w:link w:val="BalloonText"/>
    <w:uiPriority w:val="99"/>
    <w:semiHidden/>
    <w:rsid w:val="008924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924C9"/>
    <w:pPr>
      <w:keepNext/>
      <w:outlineLvl w:val="1"/>
    </w:pPr>
    <w:rPr>
      <w:rFonts w:ascii="Garamond" w:hAnsi="Garamond"/>
      <w:b/>
      <w:bCs/>
    </w:rPr>
  </w:style>
  <w:style w:type="paragraph" w:styleId="Heading6">
    <w:name w:val="heading 6"/>
    <w:basedOn w:val="Normal"/>
    <w:next w:val="Normal"/>
    <w:link w:val="Heading6Char"/>
    <w:qFormat/>
    <w:rsid w:val="008924C9"/>
    <w:pPr>
      <w:keepNext/>
      <w:jc w:val="both"/>
      <w:outlineLvl w:val="5"/>
    </w:pPr>
    <w:rPr>
      <w:b/>
      <w:sz w:val="28"/>
      <w:szCs w:val="20"/>
    </w:rPr>
  </w:style>
  <w:style w:type="paragraph" w:styleId="Heading8">
    <w:name w:val="heading 8"/>
    <w:basedOn w:val="Normal"/>
    <w:next w:val="Normal"/>
    <w:link w:val="Heading8Char"/>
    <w:qFormat/>
    <w:rsid w:val="008924C9"/>
    <w:pPr>
      <w:keepNext/>
      <w:jc w:val="both"/>
      <w:outlineLvl w:val="7"/>
    </w:pPr>
    <w:rPr>
      <w:b/>
      <w:i/>
      <w:sz w:val="22"/>
      <w:szCs w:val="20"/>
    </w:rPr>
  </w:style>
  <w:style w:type="paragraph" w:styleId="Heading9">
    <w:name w:val="heading 9"/>
    <w:basedOn w:val="Normal"/>
    <w:next w:val="Normal"/>
    <w:link w:val="Heading9Char"/>
    <w:qFormat/>
    <w:rsid w:val="008924C9"/>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24C9"/>
    <w:rPr>
      <w:rFonts w:ascii="Garamond" w:eastAsia="Times New Roman" w:hAnsi="Garamond" w:cs="Times New Roman"/>
      <w:b/>
      <w:bCs/>
      <w:sz w:val="24"/>
      <w:szCs w:val="24"/>
    </w:rPr>
  </w:style>
  <w:style w:type="character" w:customStyle="1" w:styleId="Heading6Char">
    <w:name w:val="Heading 6 Char"/>
    <w:basedOn w:val="DefaultParagraphFont"/>
    <w:link w:val="Heading6"/>
    <w:rsid w:val="008924C9"/>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8924C9"/>
    <w:rPr>
      <w:rFonts w:ascii="Times New Roman" w:eastAsia="Times New Roman" w:hAnsi="Times New Roman" w:cs="Times New Roman"/>
      <w:b/>
      <w:i/>
      <w:szCs w:val="20"/>
    </w:rPr>
  </w:style>
  <w:style w:type="character" w:customStyle="1" w:styleId="Heading9Char">
    <w:name w:val="Heading 9 Char"/>
    <w:basedOn w:val="DefaultParagraphFont"/>
    <w:link w:val="Heading9"/>
    <w:rsid w:val="008924C9"/>
    <w:rPr>
      <w:rFonts w:ascii="Times New Roman" w:eastAsia="Times New Roman" w:hAnsi="Times New Roman" w:cs="Times New Roman"/>
      <w:b/>
      <w:sz w:val="28"/>
      <w:szCs w:val="20"/>
    </w:rPr>
  </w:style>
  <w:style w:type="paragraph" w:styleId="BodyText2">
    <w:name w:val="Body Text 2"/>
    <w:basedOn w:val="Normal"/>
    <w:link w:val="BodyText2Char"/>
    <w:rsid w:val="008924C9"/>
    <w:pPr>
      <w:jc w:val="both"/>
    </w:pPr>
    <w:rPr>
      <w:sz w:val="22"/>
      <w:szCs w:val="20"/>
    </w:rPr>
  </w:style>
  <w:style w:type="character" w:customStyle="1" w:styleId="BodyText2Char">
    <w:name w:val="Body Text 2 Char"/>
    <w:basedOn w:val="DefaultParagraphFont"/>
    <w:link w:val="BodyText2"/>
    <w:rsid w:val="008924C9"/>
    <w:rPr>
      <w:rFonts w:ascii="Times New Roman" w:eastAsia="Times New Roman" w:hAnsi="Times New Roman" w:cs="Times New Roman"/>
      <w:szCs w:val="20"/>
    </w:rPr>
  </w:style>
  <w:style w:type="paragraph" w:styleId="Header">
    <w:name w:val="header"/>
    <w:basedOn w:val="Normal"/>
    <w:link w:val="HeaderChar"/>
    <w:rsid w:val="008924C9"/>
    <w:pPr>
      <w:tabs>
        <w:tab w:val="center" w:pos="4320"/>
        <w:tab w:val="right" w:pos="8640"/>
      </w:tabs>
    </w:pPr>
    <w:rPr>
      <w:szCs w:val="20"/>
    </w:rPr>
  </w:style>
  <w:style w:type="character" w:customStyle="1" w:styleId="HeaderChar">
    <w:name w:val="Header Char"/>
    <w:basedOn w:val="DefaultParagraphFont"/>
    <w:link w:val="Header"/>
    <w:rsid w:val="008924C9"/>
    <w:rPr>
      <w:rFonts w:ascii="Times New Roman" w:eastAsia="Times New Roman" w:hAnsi="Times New Roman" w:cs="Times New Roman"/>
      <w:sz w:val="24"/>
      <w:szCs w:val="20"/>
    </w:rPr>
  </w:style>
  <w:style w:type="paragraph" w:styleId="Title">
    <w:name w:val="Title"/>
    <w:basedOn w:val="Normal"/>
    <w:link w:val="TitleChar"/>
    <w:qFormat/>
    <w:rsid w:val="008924C9"/>
    <w:pPr>
      <w:jc w:val="center"/>
    </w:pPr>
    <w:rPr>
      <w:rFonts w:ascii="Garamond" w:hAnsi="Garamond"/>
      <w:sz w:val="28"/>
    </w:rPr>
  </w:style>
  <w:style w:type="character" w:customStyle="1" w:styleId="TitleChar">
    <w:name w:val="Title Char"/>
    <w:basedOn w:val="DefaultParagraphFont"/>
    <w:link w:val="Title"/>
    <w:rsid w:val="008924C9"/>
    <w:rPr>
      <w:rFonts w:ascii="Garamond" w:eastAsia="Times New Roman" w:hAnsi="Garamond" w:cs="Times New Roman"/>
      <w:sz w:val="28"/>
      <w:szCs w:val="24"/>
    </w:rPr>
  </w:style>
  <w:style w:type="character" w:styleId="Hyperlink">
    <w:name w:val="Hyperlink"/>
    <w:basedOn w:val="DefaultParagraphFont"/>
    <w:rsid w:val="008924C9"/>
    <w:rPr>
      <w:color w:val="0000FF"/>
      <w:u w:val="single"/>
    </w:rPr>
  </w:style>
  <w:style w:type="paragraph" w:styleId="BalloonText">
    <w:name w:val="Balloon Text"/>
    <w:basedOn w:val="Normal"/>
    <w:link w:val="BalloonTextChar"/>
    <w:uiPriority w:val="99"/>
    <w:semiHidden/>
    <w:unhideWhenUsed/>
    <w:rsid w:val="008924C9"/>
    <w:rPr>
      <w:rFonts w:ascii="Tahoma" w:hAnsi="Tahoma" w:cs="Tahoma"/>
      <w:sz w:val="16"/>
      <w:szCs w:val="16"/>
    </w:rPr>
  </w:style>
  <w:style w:type="character" w:customStyle="1" w:styleId="BalloonTextChar">
    <w:name w:val="Balloon Text Char"/>
    <w:basedOn w:val="DefaultParagraphFont"/>
    <w:link w:val="BalloonText"/>
    <w:uiPriority w:val="99"/>
    <w:semiHidden/>
    <w:rsid w:val="008924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rg/KeAlahele" TargetMode="External"/><Relationship Id="rId3" Type="http://schemas.microsoft.com/office/2007/relationships/stylesWithEffects" Target="stylesWithEffects.xml"/><Relationship Id="rId7" Type="http://schemas.openxmlformats.org/officeDocument/2006/relationships/hyperlink" Target="http://www.focusmauinu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b.org" TargetMode="External"/><Relationship Id="rId4" Type="http://schemas.openxmlformats.org/officeDocument/2006/relationships/settings" Target="settings.xml"/><Relationship Id="rId9" Type="http://schemas.openxmlformats.org/officeDocument/2006/relationships/hyperlink" Target="http://www.focusmauinu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Taylor</dc:creator>
  <cp:lastModifiedBy>Cari Taylor</cp:lastModifiedBy>
  <cp:revision>2</cp:revision>
  <dcterms:created xsi:type="dcterms:W3CDTF">2013-09-24T01:02:00Z</dcterms:created>
  <dcterms:modified xsi:type="dcterms:W3CDTF">2014-06-02T19:36:00Z</dcterms:modified>
</cp:coreProperties>
</file>